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Gill Sans MT" w:hAnsi="Gill Sans MT"/>
          <w:caps/>
          <w:color w:val="144166"/>
          <w:spacing w:val="36"/>
          <w:sz w:val="40"/>
          <w:szCs w:val="40"/>
        </w:rPr>
        <w:id w:val="1646400929"/>
        <w:docPartObj>
          <w:docPartGallery w:val="Cover Pages"/>
          <w:docPartUnique/>
        </w:docPartObj>
      </w:sdtPr>
      <w:sdtEndPr>
        <w:rPr>
          <w:rFonts w:asciiTheme="minorHAnsi" w:hAnsiTheme="minorHAnsi"/>
          <w:caps w:val="0"/>
          <w:color w:val="auto"/>
          <w:spacing w:val="0"/>
          <w:sz w:val="21"/>
          <w:szCs w:val="22"/>
        </w:rPr>
      </w:sdtEndPr>
      <w:sdtContent>
        <w:p w14:paraId="24875AAE" w14:textId="77777777" w:rsidR="00257828" w:rsidRDefault="00A87E48" w:rsidP="00D91225">
          <w:pPr>
            <w:tabs>
              <w:tab w:val="left" w:pos="142"/>
            </w:tabs>
          </w:pPr>
          <w:r>
            <w:rPr>
              <w:rFonts w:ascii="Gill Sans MT" w:hAnsi="Gill Sans MT"/>
              <w:caps/>
              <w:noProof/>
              <w:color w:val="144166"/>
              <w:spacing w:val="36"/>
              <w:sz w:val="40"/>
              <w:szCs w:val="40"/>
            </w:rPr>
            <mc:AlternateContent>
              <mc:Choice Requires="wps">
                <w:drawing>
                  <wp:anchor distT="0" distB="0" distL="114300" distR="114300" simplePos="0" relativeHeight="251658246" behindDoc="1" locked="0" layoutInCell="1" allowOverlap="1" wp14:anchorId="2CEE3344" wp14:editId="1E993048">
                    <wp:simplePos x="0" y="0"/>
                    <wp:positionH relativeFrom="column">
                      <wp:posOffset>-897255</wp:posOffset>
                    </wp:positionH>
                    <wp:positionV relativeFrom="paragraph">
                      <wp:posOffset>-897255</wp:posOffset>
                    </wp:positionV>
                    <wp:extent cx="7565390" cy="10951535"/>
                    <wp:effectExtent l="0" t="0" r="0" b="2540"/>
                    <wp:wrapNone/>
                    <wp:docPr id="662290644" name="Rectangle 1"/>
                    <wp:cNvGraphicFramePr/>
                    <a:graphic xmlns:a="http://schemas.openxmlformats.org/drawingml/2006/main">
                      <a:graphicData uri="http://schemas.microsoft.com/office/word/2010/wordprocessingShape">
                        <wps:wsp>
                          <wps:cNvSpPr/>
                          <wps:spPr>
                            <a:xfrm>
                              <a:off x="0" y="0"/>
                              <a:ext cx="7565390" cy="10951535"/>
                            </a:xfrm>
                            <a:prstGeom prst="rect">
                              <a:avLst/>
                            </a:prstGeom>
                            <a:solidFill>
                              <a:srgbClr val="0F314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3A4EF0A6" id="Rectangle 1" o:spid="_x0000_s1026" style="position:absolute;margin-left:-70.65pt;margin-top:-70.65pt;width:595.7pt;height:862.3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ULgAIAAGEFAAAOAAAAZHJzL2Uyb0RvYy54bWysVFFP2zAQfp+0/2D5fSQpDYyKFFWgTpMQ&#10;IGDi2XXsxpLj82y3affrd3bSlAHaw7QXx/bdfXf35TtfXu1aTbbCeQWmosVJTokwHGpl1hX98bz8&#10;8pUSH5ipmQYjKroXnl7NP3+67OxMTKABXQtHEMT4WWcr2oRgZ1nmeSNa5k/ACoNGCa5lAY9undWO&#10;dYje6myS52dZB662DrjwHm9veiOdJ3wpBQ/3UnoRiK4o1hbS6tK6ims2v2SztWO2UXwog/1DFS1T&#10;BpOOUDcsMLJx6h1Uq7gDDzKccGgzkFJxkXrAbor8TTdPDbMi9YLkeDvS5P8fLL/bPtkHhzR01s88&#10;bmMXO+na+MX6yC6RtR/JErtAOF6el2fl6QVyytFW5BdlUZ6Wkc/sGG+dD98EtCRuKurwdySW2PbW&#10;h9714BLTedCqXiqt08GtV9fakS2Lv255WkxvBvQ/3LSJzgZiWI8Yb7JjN2kX9lpEP20ehSSqxvon&#10;qZIkNDHmYZwLE4re1LBa9OmLMs+TVrC3MSJ1mgAjssT8I/YAEEX8HruvcvCPoSLpdAzO/1ZYHzxG&#10;pMxgwhjcKgPuIwCNXQ2Ze/8DST01kaUV1PsHRxz0U+ItXyr8b7fMhwfmcCzwZ+Ooh3tcpIauojDs&#10;KGnA/froPvqjWtFKSYdjVlH/c8OcoER/N6jji2I6jXOZDtPyfIIH99qyem0xm/YaUA4FPiqWp230&#10;D/qwlQ7aF3wRFjErmpjhmLuiPLjD4Tr0449vCheLRXLDWbQs3JonyyN4ZDXq8nn3wpwdxBtQ+Hdw&#10;GEk2e6Ph3jdGGlhsAkiVBH7kdeAb5zgJZ3hz4kPx+py8ji/j/DcAAAD//wMAUEsDBBQABgAIAAAA&#10;IQBJjD8N4AAAAA8BAAAPAAAAZHJzL2Rvd25yZXYueG1sTI/LTsMwEEX3SPyDNUjsWjtNCyXEqQAB&#10;CxY8EiS2bjwkEfY4it3W/D3uBtjd0RzdOVNuojVsj5MfHEnI5gIYUuv0QJ2E9+ZhtgbmgyKtjCOU&#10;8I0eNtXpSakK7Q70hvs6dCyVkC+UhD6EseDctz1a5eduREq7TzdZFdI4dVxP6pDKreELIS64VQOl&#10;C70a8a7H9qveWQlNbe+nq/zlOb4uPm4vn5o6msdByvOzeHMNLGAMfzAc9ZM6VMlp63akPTMSZtky&#10;yxP7m46MWIkM2Dal1TpfAq9K/v+P6gcAAP//AwBQSwECLQAUAAYACAAAACEAtoM4kv4AAADhAQAA&#10;EwAAAAAAAAAAAAAAAAAAAAAAW0NvbnRlbnRfVHlwZXNdLnhtbFBLAQItABQABgAIAAAAIQA4/SH/&#10;1gAAAJQBAAALAAAAAAAAAAAAAAAAAC8BAABfcmVscy8ucmVsc1BLAQItABQABgAIAAAAIQCwl4UL&#10;gAIAAGEFAAAOAAAAAAAAAAAAAAAAAC4CAABkcnMvZTJvRG9jLnhtbFBLAQItABQABgAIAAAAIQBJ&#10;jD8N4AAAAA8BAAAPAAAAAAAAAAAAAAAAANoEAABkcnMvZG93bnJldi54bWxQSwUGAAAAAAQABADz&#10;AAAA5wUAAAAA&#10;" fillcolor="#0f314d" stroked="f" strokeweight="1pt"/>
                </w:pict>
              </mc:Fallback>
            </mc:AlternateContent>
          </w:r>
        </w:p>
        <w:tbl>
          <w:tblPr>
            <w:tblStyle w:val="TableGrid"/>
            <w:tblpPr w:leftFromText="180" w:rightFromText="180" w:vertAnchor="text" w:horzAnchor="margin" w:tblpY="3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DA43DF" w14:paraId="7B5309DD" w14:textId="77777777" w:rsidTr="00DA43DF">
            <w:trPr>
              <w:trHeight w:val="737"/>
            </w:trPr>
            <w:tc>
              <w:tcPr>
                <w:tcW w:w="9060" w:type="dxa"/>
                <w:tcMar>
                  <w:left w:w="0" w:type="dxa"/>
                  <w:bottom w:w="482" w:type="dxa"/>
                </w:tcMar>
                <w:vAlign w:val="center"/>
              </w:tcPr>
              <w:p w14:paraId="77AE7889" w14:textId="77777777" w:rsidR="00DA43DF" w:rsidRDefault="00DA43DF" w:rsidP="00DA43DF">
                <w:pPr>
                  <w:tabs>
                    <w:tab w:val="left" w:pos="4678"/>
                  </w:tabs>
                  <w:spacing w:before="0" w:line="240" w:lineRule="auto"/>
                </w:pPr>
              </w:p>
            </w:tc>
          </w:tr>
          <w:tr w:rsidR="00DA43DF" w:rsidRPr="00DA43DF" w14:paraId="2D5676B5" w14:textId="77777777" w:rsidTr="00DA43DF">
            <w:tc>
              <w:tcPr>
                <w:tcW w:w="9060" w:type="dxa"/>
                <w:tcBorders>
                  <w:bottom w:val="single" w:sz="18" w:space="0" w:color="FEC000"/>
                </w:tcBorders>
                <w:tcMar>
                  <w:left w:w="0" w:type="dxa"/>
                  <w:bottom w:w="284" w:type="dxa"/>
                </w:tcMar>
                <w:vAlign w:val="bottom"/>
              </w:tcPr>
              <w:p w14:paraId="3BAE6B48" w14:textId="4A0C8926" w:rsidR="00DA43DF" w:rsidRPr="00A87E48" w:rsidRDefault="00B424F9" w:rsidP="00DA43DF">
                <w:pPr>
                  <w:spacing w:before="0"/>
                  <w:rPr>
                    <w:rFonts w:ascii="Gill Sans MT" w:eastAsia="+mn-ea" w:hAnsi="Gill Sans MT" w:cs="+mn-cs"/>
                    <w:caps/>
                    <w:color w:val="FFFFFF" w:themeColor="background1"/>
                    <w:spacing w:val="26"/>
                    <w:kern w:val="24"/>
                    <w:sz w:val="72"/>
                    <w:szCs w:val="64"/>
                  </w:rPr>
                </w:pPr>
                <w:r>
                  <w:rPr>
                    <w:rFonts w:ascii="Gill Sans MT" w:eastAsia="+mn-ea" w:hAnsi="Gill Sans MT" w:cs="+mn-cs"/>
                    <w:caps/>
                    <w:color w:val="FFFFFF" w:themeColor="background1"/>
                    <w:spacing w:val="26"/>
                    <w:kern w:val="24"/>
                    <w:sz w:val="60"/>
                    <w:szCs w:val="60"/>
                  </w:rPr>
                  <w:t>CARMARTHENSHIRE DEMOGRAPHIC EVIDENCE</w:t>
                </w:r>
                <w:r w:rsidR="00DA43DF" w:rsidRPr="00A87E48">
                  <w:rPr>
                    <w:rFonts w:ascii="Gill Sans MT" w:eastAsia="+mn-ea" w:hAnsi="Gill Sans MT" w:cs="+mn-cs"/>
                    <w:caps/>
                    <w:color w:val="FFFFFF" w:themeColor="background1"/>
                    <w:spacing w:val="26"/>
                    <w:kern w:val="24"/>
                    <w:sz w:val="60"/>
                    <w:szCs w:val="60"/>
                  </w:rPr>
                  <w:t xml:space="preserve"> </w:t>
                </w:r>
              </w:p>
            </w:tc>
          </w:tr>
          <w:tr w:rsidR="00DA43DF" w:rsidRPr="00DA43DF" w14:paraId="5F9CD405" w14:textId="77777777" w:rsidTr="00DA43DF">
            <w:tc>
              <w:tcPr>
                <w:tcW w:w="9060" w:type="dxa"/>
                <w:tcBorders>
                  <w:top w:val="single" w:sz="18" w:space="0" w:color="FEC000"/>
                </w:tcBorders>
                <w:tcMar>
                  <w:top w:w="397" w:type="dxa"/>
                  <w:left w:w="0" w:type="dxa"/>
                </w:tcMar>
                <w:vAlign w:val="bottom"/>
              </w:tcPr>
              <w:p w14:paraId="6914D784" w14:textId="2EE9C10D" w:rsidR="00DA43DF" w:rsidRPr="00A87E48" w:rsidRDefault="00B424F9" w:rsidP="00DA43DF">
                <w:pPr>
                  <w:spacing w:before="0" w:line="240" w:lineRule="auto"/>
                  <w:rPr>
                    <w:rFonts w:ascii="Aptos" w:eastAsia="+mn-ea" w:hAnsi="Aptos" w:cs="+mn-cs"/>
                    <w:color w:val="FFFFFF" w:themeColor="background1"/>
                    <w:kern w:val="24"/>
                    <w:sz w:val="32"/>
                    <w:szCs w:val="34"/>
                    <w14:ligatures w14:val="none"/>
                  </w:rPr>
                </w:pPr>
                <w:r>
                  <w:rPr>
                    <w:rFonts w:ascii="Aptos" w:eastAsia="+mn-ea" w:hAnsi="Aptos" w:cs="+mn-cs"/>
                    <w:color w:val="FFFFFF" w:themeColor="background1"/>
                    <w:kern w:val="24"/>
                    <w:sz w:val="32"/>
                    <w:szCs w:val="34"/>
                  </w:rPr>
                  <w:t>2022-Based Welsh Government Projections</w:t>
                </w:r>
                <w:r w:rsidR="002D5585">
                  <w:rPr>
                    <w:rFonts w:ascii="Aptos" w:eastAsia="+mn-ea" w:hAnsi="Aptos" w:cs="+mn-cs"/>
                    <w:color w:val="FFFFFF" w:themeColor="background1"/>
                    <w:kern w:val="24"/>
                    <w:sz w:val="32"/>
                    <w:szCs w:val="34"/>
                  </w:rPr>
                  <w:t xml:space="preserve"> Briefing Note</w:t>
                </w:r>
              </w:p>
            </w:tc>
          </w:tr>
          <w:tr w:rsidR="00DA43DF" w:rsidRPr="00DA43DF" w14:paraId="7AFFE15D" w14:textId="77777777" w:rsidTr="00DA43DF">
            <w:trPr>
              <w:trHeight w:val="3912"/>
            </w:trPr>
            <w:tc>
              <w:tcPr>
                <w:tcW w:w="9060" w:type="dxa"/>
                <w:tcMar>
                  <w:left w:w="0" w:type="dxa"/>
                </w:tcMar>
                <w:vAlign w:val="bottom"/>
              </w:tcPr>
              <w:p w14:paraId="1E7EA154" w14:textId="7F08C158" w:rsidR="00DA43DF" w:rsidRPr="00A87E48" w:rsidRDefault="00DA43DF" w:rsidP="00DA43DF">
                <w:pPr>
                  <w:spacing w:before="0" w:line="240" w:lineRule="auto"/>
                  <w:rPr>
                    <w:rFonts w:ascii="Aptos" w:eastAsia="+mn-ea" w:hAnsi="Aptos" w:cs="+mn-cs"/>
                    <w:color w:val="FFFFFF" w:themeColor="background1"/>
                    <w:kern w:val="24"/>
                    <w:sz w:val="32"/>
                    <w:szCs w:val="28"/>
                    <w14:ligatures w14:val="none"/>
                  </w:rPr>
                </w:pPr>
                <w:r w:rsidRPr="00A87E48">
                  <w:rPr>
                    <w:rFonts w:ascii="Aptos" w:eastAsia="+mn-ea" w:hAnsi="Aptos" w:cs="+mn-cs"/>
                    <w:color w:val="FFFFFF" w:themeColor="background1"/>
                    <w:kern w:val="24"/>
                    <w:sz w:val="24"/>
                    <w:szCs w:val="26"/>
                  </w:rPr>
                  <w:t>J</w:t>
                </w:r>
                <w:r w:rsidR="00B424F9">
                  <w:rPr>
                    <w:rFonts w:ascii="Aptos" w:eastAsia="+mn-ea" w:hAnsi="Aptos" w:cs="+mn-cs"/>
                    <w:color w:val="FFFFFF" w:themeColor="background1"/>
                    <w:kern w:val="24"/>
                    <w:sz w:val="24"/>
                    <w:szCs w:val="26"/>
                  </w:rPr>
                  <w:t>anuary</w:t>
                </w:r>
                <w:r w:rsidRPr="00A87E48">
                  <w:rPr>
                    <w:rFonts w:ascii="Aptos" w:eastAsia="+mn-ea" w:hAnsi="Aptos" w:cs="+mn-cs"/>
                    <w:color w:val="FFFFFF" w:themeColor="background1"/>
                    <w:kern w:val="24"/>
                    <w:sz w:val="24"/>
                    <w:szCs w:val="26"/>
                  </w:rPr>
                  <w:t xml:space="preserve"> 202</w:t>
                </w:r>
                <w:r w:rsidR="00B424F9">
                  <w:rPr>
                    <w:rFonts w:ascii="Aptos" w:eastAsia="+mn-ea" w:hAnsi="Aptos" w:cs="+mn-cs"/>
                    <w:color w:val="FFFFFF" w:themeColor="background1"/>
                    <w:kern w:val="24"/>
                    <w:sz w:val="24"/>
                    <w:szCs w:val="26"/>
                  </w:rPr>
                  <w:t>6</w:t>
                </w:r>
              </w:p>
            </w:tc>
          </w:tr>
        </w:tbl>
        <w:p w14:paraId="4575A26C" w14:textId="77777777" w:rsidR="00312427" w:rsidRDefault="00B8568E">
          <w:pPr>
            <w:rPr>
              <w:rFonts w:ascii="Gill Sans MT" w:hAnsi="Gill Sans MT"/>
              <w:caps/>
              <w:color w:val="144166"/>
              <w:spacing w:val="36"/>
              <w:sz w:val="36"/>
              <w:szCs w:val="36"/>
            </w:rPr>
            <w:sectPr w:rsidR="00312427" w:rsidSect="00257828">
              <w:headerReference w:type="default" r:id="rId11"/>
              <w:footerReference w:type="default" r:id="rId12"/>
              <w:pgSz w:w="11906" w:h="16838"/>
              <w:pgMar w:top="1418" w:right="1418" w:bottom="1418" w:left="1418" w:header="709" w:footer="709" w:gutter="0"/>
              <w:pgNumType w:start="0"/>
              <w:cols w:space="708"/>
              <w:titlePg/>
              <w:docGrid w:linePitch="360"/>
            </w:sectPr>
          </w:pPr>
          <w:r w:rsidRPr="00D373D0">
            <w:rPr>
              <w:rFonts w:ascii="Gill Sans MT" w:hAnsi="Gill Sans MT"/>
              <w:caps/>
              <w:noProof/>
              <w:color w:val="144166"/>
              <w:spacing w:val="36"/>
              <w:sz w:val="40"/>
              <w:szCs w:val="40"/>
            </w:rPr>
            <mc:AlternateContent>
              <mc:Choice Requires="wps">
                <w:drawing>
                  <wp:anchor distT="0" distB="0" distL="114300" distR="114300" simplePos="0" relativeHeight="251658241" behindDoc="0" locked="0" layoutInCell="1" allowOverlap="1" wp14:anchorId="0BB8098B" wp14:editId="2E52E2ED">
                    <wp:simplePos x="0" y="0"/>
                    <wp:positionH relativeFrom="column">
                      <wp:posOffset>2612214</wp:posOffset>
                    </wp:positionH>
                    <wp:positionV relativeFrom="paragraph">
                      <wp:posOffset>5463650</wp:posOffset>
                    </wp:positionV>
                    <wp:extent cx="3127375" cy="5026025"/>
                    <wp:effectExtent l="3175" t="0" r="0" b="0"/>
                    <wp:wrapNone/>
                    <wp:docPr id="33" name="Free-form: Shape 32">
                      <a:extLst xmlns:a="http://schemas.openxmlformats.org/drawingml/2006/main">
                        <a:ext uri="{FF2B5EF4-FFF2-40B4-BE49-F238E27FC236}">
                          <a16:creationId xmlns:a16="http://schemas.microsoft.com/office/drawing/2014/main" id="{243BA7D5-38BE-5FFB-D386-3B7732A64BA0}"/>
                        </a:ext>
                      </a:extLst>
                    </wp:docPr>
                    <wp:cNvGraphicFramePr/>
                    <a:graphic xmlns:a="http://schemas.openxmlformats.org/drawingml/2006/main">
                      <a:graphicData uri="http://schemas.microsoft.com/office/word/2010/wordprocessingShape">
                        <wps:wsp>
                          <wps:cNvSpPr/>
                          <wps:spPr>
                            <a:xfrm rot="5400000" flipH="1" flipV="1">
                              <a:off x="0" y="0"/>
                              <a:ext cx="3127375" cy="5026025"/>
                            </a:xfrm>
                            <a:custGeom>
                              <a:avLst/>
                              <a:gdLst>
                                <a:gd name="connsiteX0" fmla="*/ 0 w 5088778"/>
                                <a:gd name="connsiteY0" fmla="*/ 5088778 h 5088778"/>
                                <a:gd name="connsiteX1" fmla="*/ 0 w 5088778"/>
                                <a:gd name="connsiteY1" fmla="*/ 0 h 5088778"/>
                                <a:gd name="connsiteX2" fmla="*/ 5088778 w 5088778"/>
                                <a:gd name="connsiteY2" fmla="*/ 5088778 h 5088778"/>
                              </a:gdLst>
                              <a:ahLst/>
                              <a:cxnLst>
                                <a:cxn ang="0">
                                  <a:pos x="connsiteX0" y="connsiteY0"/>
                                </a:cxn>
                                <a:cxn ang="0">
                                  <a:pos x="connsiteX1" y="connsiteY1"/>
                                </a:cxn>
                                <a:cxn ang="0">
                                  <a:pos x="connsiteX2" y="connsiteY2"/>
                                </a:cxn>
                              </a:cxnLst>
                              <a:rect l="l" t="t" r="r" b="b"/>
                              <a:pathLst>
                                <a:path w="5088778" h="5088778">
                                  <a:moveTo>
                                    <a:pt x="0" y="5088778"/>
                                  </a:moveTo>
                                  <a:lnTo>
                                    <a:pt x="0" y="0"/>
                                  </a:lnTo>
                                  <a:lnTo>
                                    <a:pt x="5088778" y="5088778"/>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B2B5DF" id="Free-form: Shape 32" o:spid="_x0000_s1026" style="position:absolute;margin-left:205.7pt;margin-top:430.2pt;width:246.25pt;height:395.75pt;rotation:90;flip:x y;z-index:25170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8778,508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8U3QIAAGAHAAAOAAAAZHJzL2Uyb0RvYy54bWysVcFu2zAMvQ/YPwg+DljtuEsTBE2KoUW3&#10;w7AVazd0R0WWYwOy6ElKnP79SMlynLZY0WE5OLRFPuo9ktL5xb5RbCeNrUEvk8lJljCpBRS13iyT&#10;H3fX7+cJs47rgivQcpk8SJtcrN6+Oe/ahcyhAlVIwxBE20XXLpPKuXaRplZUsuH2BFqpcbEE03CH&#10;r2aTFoZ3iN6oNM+ys7QDU7QGhLQWv16FxWTl8ctSCvetLK10TC0T3JvzT+Ofa3qmq3O+2BjeVrXo&#10;t8H/YRcNrzUmHaCuuONsa+onUE0tDFgo3YmAJoWyrIX0HJDNJHvE5rbirfRcUBzbDjLZ/wcrvu5u&#10;2xuDMnStXVg0icW+NA0zgGpNP2T0S1ip6vYzVjhYP8kiT2TA9l7Oh0FOuXdM4MfTST47nU0TJnBt&#10;muVnWT4lwdOQgMLF1rpPEhqy+e6LdaEeBVr0aVMwzRtsGwFa29rJe9pJo7BE71KWsY5Ns/l8Npv3&#10;dXzs/mvs3ruy6oWge+L4ihzH7i+i5yP0uKUXeTwXdJQJNd1E1XgVhRR73SuJFuM0k5kvWwuWyjaW&#10;FWsUX1G2UCaM8lX6ezAKMA6evCoYmY2D83EwkjowMDjLNMXKT7FLGE6xSRhO8TpUv+WOiNOGyWQd&#10;NV3oDlYdbFpvYCfvwHu6Q/tG78D94KP0U9+oUFyL/63Hi0hELdoBNfoJBVaGT7RZPxQDAeI9GgwL&#10;qi6ua6Vow/5klJfKsB1HNdabKPeRl/J100BRMTHmOMy4t9yDkoSp9HdZsrrAjsh9ezxKwoWQ2oWB&#10;txUvZMg9mdLJEOCHCM/EAxJyifkH7B6AjvYDgYgdYHp/CpX+9B6CQ98OacIOjoOHCJ8ZtBuCm1qD&#10;eY6ZQlZ95uAfRQrSkEprKB5uDOvwjlgm9veWG4m959QlhCuFa1EB9qJwIYOGj1sHZU1HmRc8APQv&#10;eIx7hforh+6J8bv3OlyMqz8AAAD//wMAUEsDBBQABgAIAAAAIQD5c6CT3wAAAA4BAAAPAAAAZHJz&#10;L2Rvd25yZXYueG1sTI/BTsMwEETvSPyDtUjcqN3QRG2IUwFqrkikPXB0420SEduR7aTh79me4Dar&#10;eZqdKfaLGdiMPvTOSlivBDC0jdO9bSWcjtXTFliIymo1OIsSfjDAvry/K1Su3dV+4lzHllGIDbmS&#10;0MU45pyHpkOjwsqNaMm7OG9UpNO3XHt1pXAz8ESIjBvVW/rQqRHfO2y+68lIcG/pQR8y/3G6YFX3&#10;UzVvv5BL+fiwvL4Ai7jEPxhu9ak6lNTp7CarAxskJNl6RygZQuxI3RCRPm+AnUmlItkALwv+f0b5&#10;CwAA//8DAFBLAQItABQABgAIAAAAIQC2gziS/gAAAOEBAAATAAAAAAAAAAAAAAAAAAAAAABbQ29u&#10;dGVudF9UeXBlc10ueG1sUEsBAi0AFAAGAAgAAAAhADj9If/WAAAAlAEAAAsAAAAAAAAAAAAAAAAA&#10;LwEAAF9yZWxzLy5yZWxzUEsBAi0AFAAGAAgAAAAhAJZtbxTdAgAAYAcAAA4AAAAAAAAAAAAAAAAA&#10;LgIAAGRycy9lMm9Eb2MueG1sUEsBAi0AFAAGAAgAAAAhAPlzoJPfAAAADgEAAA8AAAAAAAAAAAAA&#10;AAAANwUAAGRycy9kb3ducmV2LnhtbFBLBQYAAAAABAAEAPMAAABDBgAAAAA=&#10;" path="m,5088778l,,5088778,5088778,,5088778xe" fillcolor="white [3212]" stroked="f" strokeweight="1pt">
                    <v:stroke joinstyle="miter"/>
                    <v:path arrowok="t" o:connecttype="custom" o:connectlocs="0,5026025;0,0;3127375,5026025" o:connectangles="0,0,0"/>
                  </v:shape>
                </w:pict>
              </mc:Fallback>
            </mc:AlternateContent>
          </w:r>
          <w:r w:rsidR="00DA43DF">
            <w:rPr>
              <w:noProof/>
            </w:rPr>
            <w:drawing>
              <wp:anchor distT="0" distB="0" distL="114300" distR="114300" simplePos="0" relativeHeight="251658242" behindDoc="0" locked="0" layoutInCell="1" allowOverlap="1" wp14:anchorId="3CD8783D" wp14:editId="57898357">
                <wp:simplePos x="0" y="0"/>
                <wp:positionH relativeFrom="column">
                  <wp:posOffset>4596437</wp:posOffset>
                </wp:positionH>
                <wp:positionV relativeFrom="paragraph">
                  <wp:posOffset>8255854</wp:posOffset>
                </wp:positionV>
                <wp:extent cx="1546225" cy="712470"/>
                <wp:effectExtent l="0" t="0" r="0" b="0"/>
                <wp:wrapNone/>
                <wp:docPr id="1962108155"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08155" name="Graphic 1962108155"/>
                        <pic:cNvPicPr/>
                      </pic:nvPicPr>
                      <pic:blipFill>
                        <a:blip r:embed="rId13">
                          <a:extLst>
                            <a:ext uri="{96DAC541-7B7A-43D3-8B79-37D633B846F1}">
                              <asvg:svgBlip xmlns:asvg="http://schemas.microsoft.com/office/drawing/2016/SVG/main" r:embed="rId14"/>
                            </a:ext>
                          </a:extLst>
                        </a:blip>
                        <a:stretch>
                          <a:fillRect/>
                        </a:stretch>
                      </pic:blipFill>
                      <pic:spPr>
                        <a:xfrm>
                          <a:off x="0" y="0"/>
                          <a:ext cx="1546225" cy="712470"/>
                        </a:xfrm>
                        <a:prstGeom prst="rect">
                          <a:avLst/>
                        </a:prstGeom>
                      </pic:spPr>
                    </pic:pic>
                  </a:graphicData>
                </a:graphic>
                <wp14:sizeRelH relativeFrom="page">
                  <wp14:pctWidth>0</wp14:pctWidth>
                </wp14:sizeRelH>
                <wp14:sizeRelV relativeFrom="page">
                  <wp14:pctHeight>0</wp14:pctHeight>
                </wp14:sizeRelV>
              </wp:anchor>
            </w:drawing>
          </w:r>
        </w:p>
        <w:p w14:paraId="4CE4E9F7" w14:textId="094A7CA6" w:rsidR="009858BB" w:rsidRPr="002A7C9B" w:rsidRDefault="00B424F9" w:rsidP="00761667">
          <w:pPr>
            <w:pStyle w:val="PrefaceHeading"/>
            <w:rPr>
              <w:sz w:val="36"/>
              <w:szCs w:val="36"/>
            </w:rPr>
          </w:pPr>
          <w:bookmarkStart w:id="0" w:name="_Toc190428419"/>
          <w:bookmarkStart w:id="1" w:name="_Toc209682766"/>
          <w:bookmarkStart w:id="2" w:name="_Toc220661307"/>
          <w:r w:rsidRPr="002A7C9B">
            <w:rPr>
              <w:caps w:val="0"/>
              <w:sz w:val="36"/>
              <w:szCs w:val="36"/>
            </w:rPr>
            <w:lastRenderedPageBreak/>
            <w:t>ACKNOWLEDGEMENT</w:t>
          </w:r>
          <w:bookmarkEnd w:id="0"/>
          <w:bookmarkEnd w:id="1"/>
          <w:r w:rsidRPr="002A7C9B">
            <w:rPr>
              <w:caps w:val="0"/>
              <w:sz w:val="36"/>
              <w:szCs w:val="36"/>
            </w:rPr>
            <w:t>S</w:t>
          </w:r>
          <w:bookmarkEnd w:id="2"/>
        </w:p>
        <w:p w14:paraId="04F095AE" w14:textId="32358066" w:rsidR="00D557FE" w:rsidRDefault="00775B1E" w:rsidP="009858BB">
          <w:r w:rsidRPr="002A7C9B">
            <w:t>Demographic statistics used in this report have been derived from data from the Office for National Statistics</w:t>
          </w:r>
          <w:r w:rsidR="009B3FEA" w:rsidRPr="002A7C9B">
            <w:t xml:space="preserve"> and Welsh Government</w:t>
          </w:r>
          <w:r w:rsidRPr="002A7C9B">
            <w:t xml:space="preserve"> licensed under the Open Government Licence v.3.0.</w:t>
          </w:r>
        </w:p>
        <w:p w14:paraId="1CAAEBBC" w14:textId="77777777" w:rsidR="00D557FE" w:rsidRDefault="00D557FE" w:rsidP="009858BB"/>
        <w:p w14:paraId="642255A0" w14:textId="77777777" w:rsidR="00D557FE" w:rsidRDefault="00D557FE" w:rsidP="009858BB"/>
        <w:p w14:paraId="143BBC29" w14:textId="77777777" w:rsidR="00D557FE" w:rsidRDefault="00D557FE" w:rsidP="009858BB"/>
        <w:p w14:paraId="52AE2CFC" w14:textId="77777777" w:rsidR="00D557FE" w:rsidRDefault="00315CE6" w:rsidP="009858BB">
          <w:r>
            <w:rPr>
              <w:rFonts w:ascii="Gill Sans MT" w:eastAsia="+mn-ea" w:hAnsi="Gill Sans MT" w:cs="+mn-cs"/>
              <w:caps/>
              <w:color w:val="144166"/>
              <w:spacing w:val="36"/>
              <w:kern w:val="24"/>
              <w:sz w:val="72"/>
              <w:szCs w:val="64"/>
            </w:rPr>
            <w:t xml:space="preserve"> </w:t>
          </w:r>
          <w:r>
            <w:rPr>
              <w:rFonts w:ascii="Gill Sans MT" w:eastAsia="+mn-ea" w:hAnsi="Gill Sans MT" w:cs="+mn-cs"/>
              <w:caps/>
              <w:color w:val="144166"/>
              <w:spacing w:val="36"/>
              <w:kern w:val="24"/>
              <w:sz w:val="72"/>
              <w:szCs w:val="64"/>
            </w:rPr>
            <w:tab/>
          </w:r>
        </w:p>
        <w:p w14:paraId="7F00B34F" w14:textId="77777777" w:rsidR="00D557FE" w:rsidRDefault="00D557FE" w:rsidP="009858BB"/>
        <w:p w14:paraId="58EBCFE4" w14:textId="77777777" w:rsidR="00D557FE" w:rsidRDefault="00D557FE" w:rsidP="009858BB"/>
        <w:p w14:paraId="699330C6" w14:textId="77777777" w:rsidR="00D557FE" w:rsidRDefault="00D557FE" w:rsidP="009858BB"/>
        <w:p w14:paraId="4EC2F8B1" w14:textId="77777777" w:rsidR="00D557FE" w:rsidRDefault="00D557FE" w:rsidP="009858BB"/>
        <w:p w14:paraId="28CB7332" w14:textId="77777777" w:rsidR="00D557FE" w:rsidRDefault="00D557FE" w:rsidP="009858BB"/>
        <w:p w14:paraId="200F174A" w14:textId="77777777" w:rsidR="00D557FE" w:rsidRDefault="00D557FE" w:rsidP="009858BB"/>
        <w:p w14:paraId="7DFD285A" w14:textId="77777777" w:rsidR="00D557FE" w:rsidRDefault="00D557FE" w:rsidP="009858BB"/>
        <w:p w14:paraId="740206EB" w14:textId="77777777" w:rsidR="00D557FE" w:rsidRDefault="00D557FE" w:rsidP="009858BB"/>
        <w:p w14:paraId="0CD059E3" w14:textId="77777777" w:rsidR="00D557FE" w:rsidRDefault="00D557FE" w:rsidP="009858BB"/>
        <w:p w14:paraId="30151E53" w14:textId="77777777" w:rsidR="00D557FE" w:rsidRDefault="00D557FE" w:rsidP="009858BB"/>
        <w:p w14:paraId="35392D38" w14:textId="77777777" w:rsidR="00D557FE" w:rsidRDefault="00D557FE" w:rsidP="009858BB"/>
        <w:p w14:paraId="6D8899BA" w14:textId="77777777" w:rsidR="00D557FE" w:rsidRDefault="00D557FE" w:rsidP="009858BB"/>
        <w:p w14:paraId="2C7E735A" w14:textId="77777777" w:rsidR="00D557FE" w:rsidRDefault="00D557FE" w:rsidP="009858BB"/>
        <w:p w14:paraId="0A1C0410" w14:textId="77777777" w:rsidR="00D557FE" w:rsidRDefault="00D557FE" w:rsidP="009858BB"/>
        <w:p w14:paraId="6FD48E69" w14:textId="77777777" w:rsidR="00094004" w:rsidRDefault="00094004" w:rsidP="009858BB"/>
        <w:p w14:paraId="48683F9D" w14:textId="77777777" w:rsidR="00094004" w:rsidRDefault="00094004" w:rsidP="009858BB"/>
        <w:p w14:paraId="625D5269" w14:textId="77777777" w:rsidR="00094004" w:rsidRDefault="00094004" w:rsidP="009858BB"/>
        <w:p w14:paraId="312F60F5" w14:textId="77777777" w:rsidR="00D557FE" w:rsidRDefault="00D557FE" w:rsidP="009858BB"/>
        <w:p w14:paraId="01A7768B" w14:textId="77777777" w:rsidR="00D557FE" w:rsidRDefault="00D557FE" w:rsidP="009858BB">
          <w:pPr>
            <w:rPr>
              <w:i/>
              <w:iCs/>
            </w:rPr>
          </w:pPr>
          <w:r w:rsidRPr="00D557FE">
            <w:rPr>
              <w:i/>
              <w:iCs/>
            </w:rPr>
            <w:t>The authors of this report do not accept liability for any costs or consequential loss involved following the use of the data and analysis referred to here; this is entirely the responsibility of the users of the information presented in this report.</w:t>
          </w:r>
        </w:p>
        <w:p w14:paraId="4B4B0ABB" w14:textId="77777777" w:rsidR="00881B9C" w:rsidRPr="00417F97" w:rsidRDefault="00310D8C" w:rsidP="00417F97">
          <w:pPr>
            <w:pStyle w:val="Heading1"/>
            <w:numPr>
              <w:ilvl w:val="0"/>
              <w:numId w:val="0"/>
            </w:numPr>
            <w:ind w:left="567" w:hanging="567"/>
            <w:rPr>
              <w:sz w:val="36"/>
              <w:szCs w:val="36"/>
            </w:rPr>
          </w:pPr>
          <w:bookmarkStart w:id="3" w:name="_Toc209682768"/>
          <w:bookmarkStart w:id="4" w:name="_Toc220661308"/>
          <w:bookmarkStart w:id="5" w:name="_Toc190428421"/>
          <w:r w:rsidRPr="00417F97">
            <w:rPr>
              <w:sz w:val="36"/>
              <w:szCs w:val="36"/>
            </w:rPr>
            <w:lastRenderedPageBreak/>
            <w:t>CONTENTS</w:t>
          </w:r>
          <w:bookmarkEnd w:id="3"/>
          <w:bookmarkEnd w:id="4"/>
        </w:p>
        <w:bookmarkStart w:id="6" w:name="_Hlk209682757" w:displacedByCustomXml="next"/>
        <w:sdt>
          <w:sdtPr>
            <w:id w:val="347685985"/>
            <w:docPartObj>
              <w:docPartGallery w:val="Table of Contents"/>
              <w:docPartUnique/>
            </w:docPartObj>
          </w:sdtPr>
          <w:sdtEndPr>
            <w:rPr>
              <w:b/>
              <w:bCs/>
            </w:rPr>
          </w:sdtEndPr>
          <w:sdtContent>
            <w:p w14:paraId="18E78333" w14:textId="77777777" w:rsidR="00881B9C" w:rsidRPr="00881B9C" w:rsidRDefault="00881B9C" w:rsidP="00881B9C">
              <w:pPr>
                <w:keepNext/>
                <w:keepLines/>
                <w:spacing w:before="240" w:line="259" w:lineRule="auto"/>
                <w:rPr>
                  <w:rFonts w:asciiTheme="majorHAnsi" w:eastAsiaTheme="majorEastAsia" w:hAnsiTheme="majorHAnsi" w:cstheme="majorBidi"/>
                  <w:color w:val="0F4761" w:themeColor="accent1" w:themeShade="BF"/>
                  <w:kern w:val="0"/>
                  <w:sz w:val="32"/>
                  <w:szCs w:val="32"/>
                  <w:lang w:eastAsia="en-GB"/>
                  <w14:ligatures w14:val="none"/>
                </w:rPr>
              </w:pPr>
            </w:p>
            <w:p w14:paraId="3F6C0116" w14:textId="775250F0" w:rsidR="00D510D3" w:rsidRDefault="00881B9C">
              <w:pPr>
                <w:pStyle w:val="TOC1"/>
                <w:tabs>
                  <w:tab w:val="right" w:leader="dot" w:pos="9060"/>
                </w:tabs>
                <w:rPr>
                  <w:rFonts w:eastAsiaTheme="minorEastAsia"/>
                  <w:noProof/>
                  <w:color w:val="auto"/>
                  <w:sz w:val="24"/>
                  <w:szCs w:val="24"/>
                  <w:lang w:eastAsia="en-GB"/>
                </w:rPr>
              </w:pPr>
              <w:r>
                <w:fldChar w:fldCharType="begin"/>
              </w:r>
              <w:r>
                <w:instrText xml:space="preserve"> TOC \o "1-3" \h \z \t "Appendix Header,1" </w:instrText>
              </w:r>
              <w:r>
                <w:fldChar w:fldCharType="separate"/>
              </w:r>
              <w:hyperlink w:anchor="_Toc220661307" w:history="1">
                <w:r w:rsidR="00D510D3" w:rsidRPr="00030BFA">
                  <w:rPr>
                    <w:rStyle w:val="Hyperlink"/>
                    <w:noProof/>
                  </w:rPr>
                  <w:t>A</w:t>
                </w:r>
                <w:r w:rsidR="00281736" w:rsidRPr="00030BFA">
                  <w:rPr>
                    <w:rStyle w:val="Hyperlink"/>
                    <w:noProof/>
                  </w:rPr>
                  <w:t>cknowledgements</w:t>
                </w:r>
                <w:r w:rsidR="00D510D3">
                  <w:rPr>
                    <w:noProof/>
                    <w:webHidden/>
                  </w:rPr>
                  <w:tab/>
                </w:r>
                <w:r w:rsidR="00D510D3">
                  <w:rPr>
                    <w:noProof/>
                    <w:webHidden/>
                  </w:rPr>
                  <w:fldChar w:fldCharType="begin"/>
                </w:r>
                <w:r w:rsidR="00D510D3">
                  <w:rPr>
                    <w:noProof/>
                    <w:webHidden/>
                  </w:rPr>
                  <w:instrText xml:space="preserve"> PAGEREF _Toc220661307 \h </w:instrText>
                </w:r>
                <w:r w:rsidR="00D510D3">
                  <w:rPr>
                    <w:noProof/>
                    <w:webHidden/>
                  </w:rPr>
                </w:r>
                <w:r w:rsidR="00D510D3">
                  <w:rPr>
                    <w:noProof/>
                    <w:webHidden/>
                  </w:rPr>
                  <w:fldChar w:fldCharType="separate"/>
                </w:r>
                <w:r w:rsidR="00D510D3">
                  <w:rPr>
                    <w:noProof/>
                    <w:webHidden/>
                  </w:rPr>
                  <w:t>i</w:t>
                </w:r>
                <w:r w:rsidR="00D510D3">
                  <w:rPr>
                    <w:noProof/>
                    <w:webHidden/>
                  </w:rPr>
                  <w:fldChar w:fldCharType="end"/>
                </w:r>
              </w:hyperlink>
            </w:p>
            <w:p w14:paraId="2D727904" w14:textId="53C0A1F6" w:rsidR="00D510D3" w:rsidRDefault="00D510D3">
              <w:pPr>
                <w:pStyle w:val="TOC1"/>
                <w:tabs>
                  <w:tab w:val="right" w:leader="dot" w:pos="9060"/>
                </w:tabs>
                <w:rPr>
                  <w:rFonts w:eastAsiaTheme="minorEastAsia"/>
                  <w:noProof/>
                  <w:color w:val="auto"/>
                  <w:sz w:val="24"/>
                  <w:szCs w:val="24"/>
                  <w:lang w:eastAsia="en-GB"/>
                </w:rPr>
              </w:pPr>
              <w:hyperlink w:anchor="_Toc220661308" w:history="1">
                <w:r w:rsidRPr="00030BFA">
                  <w:rPr>
                    <w:rStyle w:val="Hyperlink"/>
                    <w:noProof/>
                  </w:rPr>
                  <w:t>C</w:t>
                </w:r>
                <w:r w:rsidR="00281736" w:rsidRPr="00030BFA">
                  <w:rPr>
                    <w:rStyle w:val="Hyperlink"/>
                    <w:noProof/>
                  </w:rPr>
                  <w:t>ontents</w:t>
                </w:r>
                <w:r>
                  <w:rPr>
                    <w:noProof/>
                    <w:webHidden/>
                  </w:rPr>
                  <w:tab/>
                </w:r>
                <w:r>
                  <w:rPr>
                    <w:noProof/>
                    <w:webHidden/>
                  </w:rPr>
                  <w:fldChar w:fldCharType="begin"/>
                </w:r>
                <w:r>
                  <w:rPr>
                    <w:noProof/>
                    <w:webHidden/>
                  </w:rPr>
                  <w:instrText xml:space="preserve"> PAGEREF _Toc220661308 \h </w:instrText>
                </w:r>
                <w:r>
                  <w:rPr>
                    <w:noProof/>
                    <w:webHidden/>
                  </w:rPr>
                </w:r>
                <w:r>
                  <w:rPr>
                    <w:noProof/>
                    <w:webHidden/>
                  </w:rPr>
                  <w:fldChar w:fldCharType="separate"/>
                </w:r>
                <w:r>
                  <w:rPr>
                    <w:noProof/>
                    <w:webHidden/>
                  </w:rPr>
                  <w:t>ii</w:t>
                </w:r>
                <w:r>
                  <w:rPr>
                    <w:noProof/>
                    <w:webHidden/>
                  </w:rPr>
                  <w:fldChar w:fldCharType="end"/>
                </w:r>
              </w:hyperlink>
            </w:p>
            <w:p w14:paraId="1B9967FF" w14:textId="6B3BD4F2" w:rsidR="00D510D3" w:rsidRDefault="00D510D3">
              <w:pPr>
                <w:pStyle w:val="TOC1"/>
                <w:tabs>
                  <w:tab w:val="left" w:pos="567"/>
                  <w:tab w:val="right" w:leader="dot" w:pos="9060"/>
                </w:tabs>
                <w:rPr>
                  <w:rFonts w:eastAsiaTheme="minorEastAsia"/>
                  <w:noProof/>
                  <w:color w:val="auto"/>
                  <w:sz w:val="24"/>
                  <w:szCs w:val="24"/>
                  <w:lang w:eastAsia="en-GB"/>
                </w:rPr>
              </w:pPr>
              <w:hyperlink w:anchor="_Toc220661309" w:history="1">
                <w:r w:rsidRPr="00030BFA">
                  <w:rPr>
                    <w:rStyle w:val="Hyperlink"/>
                    <w:noProof/>
                  </w:rPr>
                  <w:t>1</w:t>
                </w:r>
                <w:r>
                  <w:rPr>
                    <w:rFonts w:eastAsiaTheme="minorEastAsia"/>
                    <w:noProof/>
                    <w:color w:val="auto"/>
                    <w:sz w:val="24"/>
                    <w:szCs w:val="24"/>
                    <w:lang w:eastAsia="en-GB"/>
                  </w:rPr>
                  <w:tab/>
                </w:r>
                <w:r w:rsidRPr="00030BFA">
                  <w:rPr>
                    <w:rStyle w:val="Hyperlink"/>
                    <w:noProof/>
                  </w:rPr>
                  <w:t>Introduction</w:t>
                </w:r>
                <w:r>
                  <w:rPr>
                    <w:noProof/>
                    <w:webHidden/>
                  </w:rPr>
                  <w:tab/>
                </w:r>
                <w:r>
                  <w:rPr>
                    <w:noProof/>
                    <w:webHidden/>
                  </w:rPr>
                  <w:fldChar w:fldCharType="begin"/>
                </w:r>
                <w:r>
                  <w:rPr>
                    <w:noProof/>
                    <w:webHidden/>
                  </w:rPr>
                  <w:instrText xml:space="preserve"> PAGEREF _Toc220661309 \h </w:instrText>
                </w:r>
                <w:r>
                  <w:rPr>
                    <w:noProof/>
                    <w:webHidden/>
                  </w:rPr>
                </w:r>
                <w:r>
                  <w:rPr>
                    <w:noProof/>
                    <w:webHidden/>
                  </w:rPr>
                  <w:fldChar w:fldCharType="separate"/>
                </w:r>
                <w:r>
                  <w:rPr>
                    <w:noProof/>
                    <w:webHidden/>
                  </w:rPr>
                  <w:t>1</w:t>
                </w:r>
                <w:r>
                  <w:rPr>
                    <w:noProof/>
                    <w:webHidden/>
                  </w:rPr>
                  <w:fldChar w:fldCharType="end"/>
                </w:r>
              </w:hyperlink>
            </w:p>
            <w:p w14:paraId="6737576F" w14:textId="5510DE21" w:rsidR="00D510D3" w:rsidRDefault="00D510D3">
              <w:pPr>
                <w:pStyle w:val="TOC1"/>
                <w:tabs>
                  <w:tab w:val="left" w:pos="567"/>
                  <w:tab w:val="right" w:leader="dot" w:pos="9060"/>
                </w:tabs>
                <w:rPr>
                  <w:rFonts w:eastAsiaTheme="minorEastAsia"/>
                  <w:noProof/>
                  <w:color w:val="auto"/>
                  <w:sz w:val="24"/>
                  <w:szCs w:val="24"/>
                  <w:lang w:eastAsia="en-GB"/>
                </w:rPr>
              </w:pPr>
              <w:hyperlink w:anchor="_Toc220661310" w:history="1">
                <w:r w:rsidRPr="00030BFA">
                  <w:rPr>
                    <w:rStyle w:val="Hyperlink"/>
                    <w:noProof/>
                  </w:rPr>
                  <w:t>2</w:t>
                </w:r>
                <w:r>
                  <w:rPr>
                    <w:rFonts w:eastAsiaTheme="minorEastAsia"/>
                    <w:noProof/>
                    <w:color w:val="auto"/>
                    <w:sz w:val="24"/>
                    <w:szCs w:val="24"/>
                    <w:lang w:eastAsia="en-GB"/>
                  </w:rPr>
                  <w:tab/>
                </w:r>
                <w:r w:rsidRPr="00030BFA">
                  <w:rPr>
                    <w:rStyle w:val="Hyperlink"/>
                    <w:noProof/>
                  </w:rPr>
                  <w:t>2022-Based Official Projections</w:t>
                </w:r>
                <w:r>
                  <w:rPr>
                    <w:noProof/>
                    <w:webHidden/>
                  </w:rPr>
                  <w:tab/>
                </w:r>
                <w:r>
                  <w:rPr>
                    <w:noProof/>
                    <w:webHidden/>
                  </w:rPr>
                  <w:fldChar w:fldCharType="begin"/>
                </w:r>
                <w:r>
                  <w:rPr>
                    <w:noProof/>
                    <w:webHidden/>
                  </w:rPr>
                  <w:instrText xml:space="preserve"> PAGEREF _Toc220661310 \h </w:instrText>
                </w:r>
                <w:r>
                  <w:rPr>
                    <w:noProof/>
                    <w:webHidden/>
                  </w:rPr>
                </w:r>
                <w:r>
                  <w:rPr>
                    <w:noProof/>
                    <w:webHidden/>
                  </w:rPr>
                  <w:fldChar w:fldCharType="separate"/>
                </w:r>
                <w:r>
                  <w:rPr>
                    <w:noProof/>
                    <w:webHidden/>
                  </w:rPr>
                  <w:t>2</w:t>
                </w:r>
                <w:r>
                  <w:rPr>
                    <w:noProof/>
                    <w:webHidden/>
                  </w:rPr>
                  <w:fldChar w:fldCharType="end"/>
                </w:r>
              </w:hyperlink>
            </w:p>
            <w:p w14:paraId="51222732" w14:textId="786A7B56" w:rsidR="00D510D3" w:rsidRDefault="00D510D3">
              <w:pPr>
                <w:pStyle w:val="TOC2"/>
                <w:rPr>
                  <w:rFonts w:eastAsiaTheme="minorEastAsia"/>
                  <w:noProof/>
                  <w:sz w:val="24"/>
                  <w:szCs w:val="24"/>
                  <w:lang w:eastAsia="en-GB"/>
                </w:rPr>
              </w:pPr>
              <w:hyperlink w:anchor="_Toc220661311" w:history="1">
                <w:r w:rsidRPr="00030BFA">
                  <w:rPr>
                    <w:rStyle w:val="Hyperlink"/>
                    <w:noProof/>
                  </w:rPr>
                  <w:t>Scenario Variants</w:t>
                </w:r>
                <w:r>
                  <w:rPr>
                    <w:noProof/>
                    <w:webHidden/>
                  </w:rPr>
                  <w:tab/>
                </w:r>
                <w:r>
                  <w:rPr>
                    <w:noProof/>
                    <w:webHidden/>
                  </w:rPr>
                  <w:fldChar w:fldCharType="begin"/>
                </w:r>
                <w:r>
                  <w:rPr>
                    <w:noProof/>
                    <w:webHidden/>
                  </w:rPr>
                  <w:instrText xml:space="preserve"> PAGEREF _Toc220661311 \h </w:instrText>
                </w:r>
                <w:r>
                  <w:rPr>
                    <w:noProof/>
                    <w:webHidden/>
                  </w:rPr>
                </w:r>
                <w:r>
                  <w:rPr>
                    <w:noProof/>
                    <w:webHidden/>
                  </w:rPr>
                  <w:fldChar w:fldCharType="separate"/>
                </w:r>
                <w:r>
                  <w:rPr>
                    <w:noProof/>
                    <w:webHidden/>
                  </w:rPr>
                  <w:t>2</w:t>
                </w:r>
                <w:r>
                  <w:rPr>
                    <w:noProof/>
                    <w:webHidden/>
                  </w:rPr>
                  <w:fldChar w:fldCharType="end"/>
                </w:r>
              </w:hyperlink>
            </w:p>
            <w:p w14:paraId="26469C41" w14:textId="3598EB02" w:rsidR="00D510D3" w:rsidRDefault="00D510D3">
              <w:pPr>
                <w:pStyle w:val="TOC2"/>
                <w:rPr>
                  <w:rFonts w:eastAsiaTheme="minorEastAsia"/>
                  <w:noProof/>
                  <w:sz w:val="24"/>
                  <w:szCs w:val="24"/>
                  <w:lang w:eastAsia="en-GB"/>
                </w:rPr>
              </w:pPr>
              <w:hyperlink w:anchor="_Toc220661312" w:history="1">
                <w:r w:rsidRPr="00030BFA">
                  <w:rPr>
                    <w:rStyle w:val="Hyperlink"/>
                    <w:noProof/>
                  </w:rPr>
                  <w:t>2022-based Projection Headlines</w:t>
                </w:r>
                <w:r>
                  <w:rPr>
                    <w:noProof/>
                    <w:webHidden/>
                  </w:rPr>
                  <w:tab/>
                </w:r>
                <w:r>
                  <w:rPr>
                    <w:noProof/>
                    <w:webHidden/>
                  </w:rPr>
                  <w:fldChar w:fldCharType="begin"/>
                </w:r>
                <w:r>
                  <w:rPr>
                    <w:noProof/>
                    <w:webHidden/>
                  </w:rPr>
                  <w:instrText xml:space="preserve"> PAGEREF _Toc220661312 \h </w:instrText>
                </w:r>
                <w:r>
                  <w:rPr>
                    <w:noProof/>
                    <w:webHidden/>
                  </w:rPr>
                </w:r>
                <w:r>
                  <w:rPr>
                    <w:noProof/>
                    <w:webHidden/>
                  </w:rPr>
                  <w:fldChar w:fldCharType="separate"/>
                </w:r>
                <w:r>
                  <w:rPr>
                    <w:noProof/>
                    <w:webHidden/>
                  </w:rPr>
                  <w:t>3</w:t>
                </w:r>
                <w:r>
                  <w:rPr>
                    <w:noProof/>
                    <w:webHidden/>
                  </w:rPr>
                  <w:fldChar w:fldCharType="end"/>
                </w:r>
              </w:hyperlink>
            </w:p>
            <w:p w14:paraId="7DE54373" w14:textId="30B58D84" w:rsidR="00D510D3" w:rsidRDefault="00D510D3">
              <w:pPr>
                <w:pStyle w:val="TOC3"/>
                <w:tabs>
                  <w:tab w:val="right" w:leader="dot" w:pos="9060"/>
                </w:tabs>
                <w:rPr>
                  <w:rFonts w:eastAsiaTheme="minorEastAsia"/>
                  <w:noProof/>
                  <w:sz w:val="24"/>
                  <w:szCs w:val="24"/>
                  <w:lang w:eastAsia="en-GB"/>
                </w:rPr>
              </w:pPr>
              <w:hyperlink w:anchor="_Toc220661313" w:history="1">
                <w:r w:rsidRPr="00030BFA">
                  <w:rPr>
                    <w:rStyle w:val="Hyperlink"/>
                    <w:noProof/>
                  </w:rPr>
                  <w:t>Population</w:t>
                </w:r>
                <w:r>
                  <w:rPr>
                    <w:noProof/>
                    <w:webHidden/>
                  </w:rPr>
                  <w:tab/>
                </w:r>
                <w:r>
                  <w:rPr>
                    <w:noProof/>
                    <w:webHidden/>
                  </w:rPr>
                  <w:fldChar w:fldCharType="begin"/>
                </w:r>
                <w:r>
                  <w:rPr>
                    <w:noProof/>
                    <w:webHidden/>
                  </w:rPr>
                  <w:instrText xml:space="preserve"> PAGEREF _Toc220661313 \h </w:instrText>
                </w:r>
                <w:r>
                  <w:rPr>
                    <w:noProof/>
                    <w:webHidden/>
                  </w:rPr>
                </w:r>
                <w:r>
                  <w:rPr>
                    <w:noProof/>
                    <w:webHidden/>
                  </w:rPr>
                  <w:fldChar w:fldCharType="separate"/>
                </w:r>
                <w:r>
                  <w:rPr>
                    <w:noProof/>
                    <w:webHidden/>
                  </w:rPr>
                  <w:t>3</w:t>
                </w:r>
                <w:r>
                  <w:rPr>
                    <w:noProof/>
                    <w:webHidden/>
                  </w:rPr>
                  <w:fldChar w:fldCharType="end"/>
                </w:r>
              </w:hyperlink>
            </w:p>
            <w:p w14:paraId="5F598AD0" w14:textId="4534F616" w:rsidR="00D510D3" w:rsidRDefault="00D510D3">
              <w:pPr>
                <w:pStyle w:val="TOC3"/>
                <w:tabs>
                  <w:tab w:val="right" w:leader="dot" w:pos="9060"/>
                </w:tabs>
                <w:rPr>
                  <w:rFonts w:eastAsiaTheme="minorEastAsia"/>
                  <w:noProof/>
                  <w:sz w:val="24"/>
                  <w:szCs w:val="24"/>
                  <w:lang w:eastAsia="en-GB"/>
                </w:rPr>
              </w:pPr>
              <w:hyperlink w:anchor="_Toc220661314" w:history="1">
                <w:r w:rsidRPr="00030BFA">
                  <w:rPr>
                    <w:rStyle w:val="Hyperlink"/>
                    <w:noProof/>
                  </w:rPr>
                  <w:t>Households</w:t>
                </w:r>
                <w:r>
                  <w:rPr>
                    <w:noProof/>
                    <w:webHidden/>
                  </w:rPr>
                  <w:tab/>
                </w:r>
                <w:r>
                  <w:rPr>
                    <w:noProof/>
                    <w:webHidden/>
                  </w:rPr>
                  <w:fldChar w:fldCharType="begin"/>
                </w:r>
                <w:r>
                  <w:rPr>
                    <w:noProof/>
                    <w:webHidden/>
                  </w:rPr>
                  <w:instrText xml:space="preserve"> PAGEREF _Toc220661314 \h </w:instrText>
                </w:r>
                <w:r>
                  <w:rPr>
                    <w:noProof/>
                    <w:webHidden/>
                  </w:rPr>
                </w:r>
                <w:r>
                  <w:rPr>
                    <w:noProof/>
                    <w:webHidden/>
                  </w:rPr>
                  <w:fldChar w:fldCharType="separate"/>
                </w:r>
                <w:r>
                  <w:rPr>
                    <w:noProof/>
                    <w:webHidden/>
                  </w:rPr>
                  <w:t>5</w:t>
                </w:r>
                <w:r>
                  <w:rPr>
                    <w:noProof/>
                    <w:webHidden/>
                  </w:rPr>
                  <w:fldChar w:fldCharType="end"/>
                </w:r>
              </w:hyperlink>
            </w:p>
            <w:p w14:paraId="092F271B" w14:textId="50596CF0" w:rsidR="00D510D3" w:rsidRDefault="00D510D3">
              <w:pPr>
                <w:pStyle w:val="TOC2"/>
                <w:rPr>
                  <w:rFonts w:eastAsiaTheme="minorEastAsia"/>
                  <w:noProof/>
                  <w:sz w:val="24"/>
                  <w:szCs w:val="24"/>
                  <w:lang w:eastAsia="en-GB"/>
                </w:rPr>
              </w:pPr>
              <w:hyperlink w:anchor="_Toc220661315" w:history="1">
                <w:r w:rsidRPr="00030BFA">
                  <w:rPr>
                    <w:rStyle w:val="Hyperlink"/>
                    <w:noProof/>
                  </w:rPr>
                  <w:t>Comparison with Previous Projections</w:t>
                </w:r>
                <w:r>
                  <w:rPr>
                    <w:noProof/>
                    <w:webHidden/>
                  </w:rPr>
                  <w:tab/>
                </w:r>
                <w:r>
                  <w:rPr>
                    <w:noProof/>
                    <w:webHidden/>
                  </w:rPr>
                  <w:fldChar w:fldCharType="begin"/>
                </w:r>
                <w:r>
                  <w:rPr>
                    <w:noProof/>
                    <w:webHidden/>
                  </w:rPr>
                  <w:instrText xml:space="preserve"> PAGEREF _Toc220661315 \h </w:instrText>
                </w:r>
                <w:r>
                  <w:rPr>
                    <w:noProof/>
                    <w:webHidden/>
                  </w:rPr>
                </w:r>
                <w:r>
                  <w:rPr>
                    <w:noProof/>
                    <w:webHidden/>
                  </w:rPr>
                  <w:fldChar w:fldCharType="separate"/>
                </w:r>
                <w:r>
                  <w:rPr>
                    <w:noProof/>
                    <w:webHidden/>
                  </w:rPr>
                  <w:t>6</w:t>
                </w:r>
                <w:r>
                  <w:rPr>
                    <w:noProof/>
                    <w:webHidden/>
                  </w:rPr>
                  <w:fldChar w:fldCharType="end"/>
                </w:r>
              </w:hyperlink>
            </w:p>
            <w:p w14:paraId="70FBEC9B" w14:textId="6A3771E9" w:rsidR="00D510D3" w:rsidRDefault="00D510D3">
              <w:pPr>
                <w:pStyle w:val="TOC3"/>
                <w:tabs>
                  <w:tab w:val="right" w:leader="dot" w:pos="9060"/>
                </w:tabs>
                <w:rPr>
                  <w:rFonts w:eastAsiaTheme="minorEastAsia"/>
                  <w:noProof/>
                  <w:sz w:val="24"/>
                  <w:szCs w:val="24"/>
                  <w:lang w:eastAsia="en-GB"/>
                </w:rPr>
              </w:pPr>
              <w:hyperlink w:anchor="_Toc220661316" w:history="1">
                <w:r w:rsidRPr="00030BFA">
                  <w:rPr>
                    <w:rStyle w:val="Hyperlink"/>
                    <w:noProof/>
                  </w:rPr>
                  <w:t>Population</w:t>
                </w:r>
                <w:r>
                  <w:rPr>
                    <w:noProof/>
                    <w:webHidden/>
                  </w:rPr>
                  <w:tab/>
                </w:r>
                <w:r>
                  <w:rPr>
                    <w:noProof/>
                    <w:webHidden/>
                  </w:rPr>
                  <w:fldChar w:fldCharType="begin"/>
                </w:r>
                <w:r>
                  <w:rPr>
                    <w:noProof/>
                    <w:webHidden/>
                  </w:rPr>
                  <w:instrText xml:space="preserve"> PAGEREF _Toc220661316 \h </w:instrText>
                </w:r>
                <w:r>
                  <w:rPr>
                    <w:noProof/>
                    <w:webHidden/>
                  </w:rPr>
                </w:r>
                <w:r>
                  <w:rPr>
                    <w:noProof/>
                    <w:webHidden/>
                  </w:rPr>
                  <w:fldChar w:fldCharType="separate"/>
                </w:r>
                <w:r>
                  <w:rPr>
                    <w:noProof/>
                    <w:webHidden/>
                  </w:rPr>
                  <w:t>6</w:t>
                </w:r>
                <w:r>
                  <w:rPr>
                    <w:noProof/>
                    <w:webHidden/>
                  </w:rPr>
                  <w:fldChar w:fldCharType="end"/>
                </w:r>
              </w:hyperlink>
            </w:p>
            <w:p w14:paraId="0BB0E030" w14:textId="38E1CD0D" w:rsidR="00D510D3" w:rsidRDefault="00D510D3">
              <w:pPr>
                <w:pStyle w:val="TOC3"/>
                <w:tabs>
                  <w:tab w:val="right" w:leader="dot" w:pos="9060"/>
                </w:tabs>
                <w:rPr>
                  <w:rFonts w:eastAsiaTheme="minorEastAsia"/>
                  <w:noProof/>
                  <w:sz w:val="24"/>
                  <w:szCs w:val="24"/>
                  <w:lang w:eastAsia="en-GB"/>
                </w:rPr>
              </w:pPr>
              <w:hyperlink w:anchor="_Toc220661317" w:history="1">
                <w:r w:rsidRPr="00030BFA">
                  <w:rPr>
                    <w:rStyle w:val="Hyperlink"/>
                    <w:noProof/>
                  </w:rPr>
                  <w:t>Households</w:t>
                </w:r>
                <w:r>
                  <w:rPr>
                    <w:noProof/>
                    <w:webHidden/>
                  </w:rPr>
                  <w:tab/>
                </w:r>
                <w:r>
                  <w:rPr>
                    <w:noProof/>
                    <w:webHidden/>
                  </w:rPr>
                  <w:fldChar w:fldCharType="begin"/>
                </w:r>
                <w:r>
                  <w:rPr>
                    <w:noProof/>
                    <w:webHidden/>
                  </w:rPr>
                  <w:instrText xml:space="preserve"> PAGEREF _Toc220661317 \h </w:instrText>
                </w:r>
                <w:r>
                  <w:rPr>
                    <w:noProof/>
                    <w:webHidden/>
                  </w:rPr>
                </w:r>
                <w:r>
                  <w:rPr>
                    <w:noProof/>
                    <w:webHidden/>
                  </w:rPr>
                  <w:fldChar w:fldCharType="separate"/>
                </w:r>
                <w:r>
                  <w:rPr>
                    <w:noProof/>
                    <w:webHidden/>
                  </w:rPr>
                  <w:t>7</w:t>
                </w:r>
                <w:r>
                  <w:rPr>
                    <w:noProof/>
                    <w:webHidden/>
                  </w:rPr>
                  <w:fldChar w:fldCharType="end"/>
                </w:r>
              </w:hyperlink>
            </w:p>
            <w:p w14:paraId="1B9537E1" w14:textId="71AFBF84" w:rsidR="00D510D3" w:rsidRDefault="00D510D3">
              <w:pPr>
                <w:pStyle w:val="TOC1"/>
                <w:tabs>
                  <w:tab w:val="left" w:pos="567"/>
                  <w:tab w:val="right" w:leader="dot" w:pos="9060"/>
                </w:tabs>
                <w:rPr>
                  <w:rFonts w:eastAsiaTheme="minorEastAsia"/>
                  <w:noProof/>
                  <w:color w:val="auto"/>
                  <w:sz w:val="24"/>
                  <w:szCs w:val="24"/>
                  <w:lang w:eastAsia="en-GB"/>
                </w:rPr>
              </w:pPr>
              <w:hyperlink w:anchor="_Toc220661318" w:history="1">
                <w:r w:rsidRPr="00030BFA">
                  <w:rPr>
                    <w:rStyle w:val="Hyperlink"/>
                    <w:noProof/>
                  </w:rPr>
                  <w:t>3</w:t>
                </w:r>
                <w:r>
                  <w:rPr>
                    <w:rFonts w:eastAsiaTheme="minorEastAsia"/>
                    <w:noProof/>
                    <w:color w:val="auto"/>
                    <w:sz w:val="24"/>
                    <w:szCs w:val="24"/>
                    <w:lang w:eastAsia="en-GB"/>
                  </w:rPr>
                  <w:tab/>
                </w:r>
                <w:r w:rsidRPr="00030BFA">
                  <w:rPr>
                    <w:rStyle w:val="Hyperlink"/>
                    <w:noProof/>
                  </w:rPr>
                  <w:t>Preferred Demographic Scenario</w:t>
                </w:r>
                <w:r>
                  <w:rPr>
                    <w:noProof/>
                    <w:webHidden/>
                  </w:rPr>
                  <w:tab/>
                </w:r>
                <w:r>
                  <w:rPr>
                    <w:noProof/>
                    <w:webHidden/>
                  </w:rPr>
                  <w:fldChar w:fldCharType="begin"/>
                </w:r>
                <w:r>
                  <w:rPr>
                    <w:noProof/>
                    <w:webHidden/>
                  </w:rPr>
                  <w:instrText xml:space="preserve"> PAGEREF _Toc220661318 \h </w:instrText>
                </w:r>
                <w:r>
                  <w:rPr>
                    <w:noProof/>
                    <w:webHidden/>
                  </w:rPr>
                </w:r>
                <w:r>
                  <w:rPr>
                    <w:noProof/>
                    <w:webHidden/>
                  </w:rPr>
                  <w:fldChar w:fldCharType="separate"/>
                </w:r>
                <w:r>
                  <w:rPr>
                    <w:noProof/>
                    <w:webHidden/>
                  </w:rPr>
                  <w:t>8</w:t>
                </w:r>
                <w:r>
                  <w:rPr>
                    <w:noProof/>
                    <w:webHidden/>
                  </w:rPr>
                  <w:fldChar w:fldCharType="end"/>
                </w:r>
              </w:hyperlink>
            </w:p>
            <w:p w14:paraId="468D6D2F" w14:textId="581E6A1B" w:rsidR="00D510D3" w:rsidRDefault="00D510D3">
              <w:pPr>
                <w:pStyle w:val="TOC2"/>
                <w:rPr>
                  <w:rFonts w:eastAsiaTheme="minorEastAsia"/>
                  <w:noProof/>
                  <w:sz w:val="24"/>
                  <w:szCs w:val="24"/>
                  <w:lang w:eastAsia="en-GB"/>
                </w:rPr>
              </w:pPr>
              <w:hyperlink w:anchor="_Toc220661319" w:history="1">
                <w:r w:rsidRPr="00030BFA">
                  <w:rPr>
                    <w:rStyle w:val="Hyperlink"/>
                    <w:noProof/>
                  </w:rPr>
                  <w:t>Considerations</w:t>
                </w:r>
                <w:r>
                  <w:rPr>
                    <w:noProof/>
                    <w:webHidden/>
                  </w:rPr>
                  <w:tab/>
                </w:r>
                <w:r>
                  <w:rPr>
                    <w:noProof/>
                    <w:webHidden/>
                  </w:rPr>
                  <w:fldChar w:fldCharType="begin"/>
                </w:r>
                <w:r>
                  <w:rPr>
                    <w:noProof/>
                    <w:webHidden/>
                  </w:rPr>
                  <w:instrText xml:space="preserve"> PAGEREF _Toc220661319 \h </w:instrText>
                </w:r>
                <w:r>
                  <w:rPr>
                    <w:noProof/>
                    <w:webHidden/>
                  </w:rPr>
                </w:r>
                <w:r>
                  <w:rPr>
                    <w:noProof/>
                    <w:webHidden/>
                  </w:rPr>
                  <w:fldChar w:fldCharType="separate"/>
                </w:r>
                <w:r>
                  <w:rPr>
                    <w:noProof/>
                    <w:webHidden/>
                  </w:rPr>
                  <w:t>10</w:t>
                </w:r>
                <w:r>
                  <w:rPr>
                    <w:noProof/>
                    <w:webHidden/>
                  </w:rPr>
                  <w:fldChar w:fldCharType="end"/>
                </w:r>
              </w:hyperlink>
            </w:p>
            <w:p w14:paraId="2FE4CC1B" w14:textId="3AA271A0" w:rsidR="00881B9C" w:rsidRPr="00881B9C" w:rsidRDefault="00881B9C" w:rsidP="00881B9C">
              <w:r>
                <w:rPr>
                  <w:color w:val="144166"/>
                </w:rPr>
                <w:fldChar w:fldCharType="end"/>
              </w:r>
            </w:p>
          </w:sdtContent>
        </w:sdt>
        <w:p w14:paraId="7776F92D" w14:textId="77777777" w:rsidR="00257828" w:rsidRPr="00881B9C" w:rsidRDefault="00B23191" w:rsidP="00881B9C"/>
        <w:bookmarkEnd w:id="6" w:displacedByCustomXml="next"/>
      </w:sdtContent>
    </w:sdt>
    <w:bookmarkEnd w:id="5" w:displacedByCustomXml="prev"/>
    <w:p w14:paraId="2A423D98" w14:textId="77777777" w:rsidR="00D557FE" w:rsidRDefault="00D557FE" w:rsidP="00A86885">
      <w:pPr>
        <w:pStyle w:val="Heading1"/>
        <w:sectPr w:rsidR="00D557FE" w:rsidSect="00D557FE">
          <w:headerReference w:type="default" r:id="rId15"/>
          <w:footerReference w:type="default" r:id="rId16"/>
          <w:headerReference w:type="first" r:id="rId17"/>
          <w:footerReference w:type="first" r:id="rId18"/>
          <w:pgSz w:w="11906" w:h="16838"/>
          <w:pgMar w:top="1418" w:right="1418" w:bottom="1418" w:left="1418" w:header="709" w:footer="709" w:gutter="0"/>
          <w:pgNumType w:fmt="lowerRoman" w:start="1"/>
          <w:cols w:space="708"/>
          <w:docGrid w:linePitch="360"/>
        </w:sectPr>
      </w:pPr>
    </w:p>
    <w:p w14:paraId="4A41A8A4" w14:textId="17082FA7" w:rsidR="008E63F7" w:rsidRPr="00417F97" w:rsidRDefault="00A30B0F" w:rsidP="007E1418">
      <w:pPr>
        <w:pStyle w:val="Heading1"/>
      </w:pPr>
      <w:bookmarkStart w:id="7" w:name="_Toc190428422"/>
      <w:bookmarkStart w:id="8" w:name="_Toc209682769"/>
      <w:bookmarkStart w:id="9" w:name="_Toc220661309"/>
      <w:r w:rsidRPr="00417F97">
        <w:lastRenderedPageBreak/>
        <w:t>Introduction</w:t>
      </w:r>
      <w:bookmarkEnd w:id="7"/>
      <w:bookmarkEnd w:id="8"/>
      <w:bookmarkEnd w:id="9"/>
    </w:p>
    <w:p w14:paraId="5FD249CB" w14:textId="77777777" w:rsidR="008F4569" w:rsidRDefault="005F674D" w:rsidP="00B424F9">
      <w:pPr>
        <w:pStyle w:val="ListParagraph"/>
      </w:pPr>
      <w:r>
        <w:t>Carmarthenshire County Council is currently at Examination for its Revised Local Development Plan</w:t>
      </w:r>
      <w:r w:rsidR="0097792C">
        <w:t xml:space="preserve"> (LDP)</w:t>
      </w:r>
      <w:r>
        <w:t xml:space="preserve">, which was submitted in </w:t>
      </w:r>
      <w:r w:rsidR="00325256">
        <w:t>May 2024</w:t>
      </w:r>
      <w:r>
        <w:t>.</w:t>
      </w:r>
      <w:r w:rsidR="00325256">
        <w:t xml:space="preserve"> </w:t>
      </w:r>
    </w:p>
    <w:p w14:paraId="307FB557" w14:textId="59534691" w:rsidR="008F4569" w:rsidRDefault="0097792C" w:rsidP="007E2C9D">
      <w:pPr>
        <w:pStyle w:val="ListParagraph"/>
      </w:pPr>
      <w:r>
        <w:t>The</w:t>
      </w:r>
      <w:r w:rsidRPr="00E707D0">
        <w:t xml:space="preserve"> Preferred Strategy of the Revised LDP sets out a housing requirement of 9,887 dwellings (2018–2033</w:t>
      </w:r>
      <w:r w:rsidR="00C07D0F">
        <w:t xml:space="preserve">, </w:t>
      </w:r>
      <w:r w:rsidR="00F74039">
        <w:t>659 per year</w:t>
      </w:r>
      <w:r w:rsidRPr="00E707D0">
        <w:t xml:space="preserve">) for Carmarthenshire (excluding </w:t>
      </w:r>
      <w:r w:rsidR="009D3C1F" w:rsidRPr="00E707D0">
        <w:t>th</w:t>
      </w:r>
      <w:r w:rsidR="009D3C1F">
        <w:t>e</w:t>
      </w:r>
      <w:r w:rsidR="009D3C1F" w:rsidRPr="00E707D0">
        <w:t xml:space="preserve"> </w:t>
      </w:r>
      <w:r w:rsidRPr="00E707D0">
        <w:t xml:space="preserve">part within the </w:t>
      </w:r>
      <w:r>
        <w:t>Bannau Brycheiniog</w:t>
      </w:r>
      <w:r w:rsidRPr="00E707D0">
        <w:t xml:space="preserve"> National Park</w:t>
      </w:r>
      <w:r w:rsidR="00525225">
        <w:t xml:space="preserve"> (BBNP)</w:t>
      </w:r>
      <w:r w:rsidRPr="00E707D0">
        <w:t>)</w:t>
      </w:r>
      <w:r w:rsidR="000B67C2">
        <w:t>.</w:t>
      </w:r>
      <w:r w:rsidR="000B67C2">
        <w:rPr>
          <w:rStyle w:val="FootnoteReference"/>
        </w:rPr>
        <w:footnoteReference w:id="1"/>
      </w:r>
      <w:r w:rsidR="000B67C2">
        <w:t xml:space="preserve"> This </w:t>
      </w:r>
      <w:r w:rsidR="00E64D4B">
        <w:t xml:space="preserve">requirement </w:t>
      </w:r>
      <w:r w:rsidR="000B67C2">
        <w:t xml:space="preserve">was </w:t>
      </w:r>
      <w:r w:rsidRPr="00E707D0">
        <w:t xml:space="preserve">based on </w:t>
      </w:r>
      <w:r w:rsidR="000B67C2">
        <w:t>a long-term trend scenario (</w:t>
      </w:r>
      <w:r w:rsidR="000B67C2" w:rsidRPr="007E1418">
        <w:rPr>
          <w:i/>
          <w:iCs/>
        </w:rPr>
        <w:t>PG Long Term</w:t>
      </w:r>
      <w:r w:rsidR="000B67C2">
        <w:t xml:space="preserve">), developed as part of a range </w:t>
      </w:r>
      <w:r w:rsidR="007E2C9D">
        <w:t>of demographic evidence produced by</w:t>
      </w:r>
      <w:r w:rsidRPr="00E707D0">
        <w:t xml:space="preserve"> Edge Analytics </w:t>
      </w:r>
      <w:r>
        <w:t>in 2018</w:t>
      </w:r>
      <w:r w:rsidR="008F4569">
        <w:t xml:space="preserve">. </w:t>
      </w:r>
      <w:r w:rsidR="001D1601">
        <w:t>The official benchmark in th</w:t>
      </w:r>
      <w:r w:rsidR="009C699C">
        <w:t>e</w:t>
      </w:r>
      <w:r w:rsidR="001D1601">
        <w:t xml:space="preserve"> </w:t>
      </w:r>
      <w:r w:rsidR="00A25C6F">
        <w:t xml:space="preserve">2018 </w:t>
      </w:r>
      <w:r w:rsidR="001D1601">
        <w:t xml:space="preserve">study was </w:t>
      </w:r>
      <w:r w:rsidR="00A25C6F">
        <w:t xml:space="preserve">provided by </w:t>
      </w:r>
      <w:r w:rsidR="001D1601">
        <w:t>the Welsh Government</w:t>
      </w:r>
      <w:r w:rsidR="002B3ABF">
        <w:t>’s</w:t>
      </w:r>
      <w:r w:rsidR="001D1601">
        <w:t xml:space="preserve"> </w:t>
      </w:r>
      <w:r w:rsidR="002B3ABF">
        <w:t xml:space="preserve">2014-based population and household projections. </w:t>
      </w:r>
    </w:p>
    <w:p w14:paraId="73414B8B" w14:textId="6BDB1091" w:rsidR="00371FA6" w:rsidRDefault="00B424F9" w:rsidP="00B424F9">
      <w:pPr>
        <w:pStyle w:val="ListParagraph"/>
      </w:pPr>
      <w:r w:rsidRPr="00E707D0">
        <w:t>Subsequent updated modelling by Edge Analytics and Turley to inform the second Deposit LDP</w:t>
      </w:r>
      <w:r w:rsidR="00C5626B">
        <w:rPr>
          <w:rStyle w:val="FootnoteReference"/>
        </w:rPr>
        <w:footnoteReference w:id="2"/>
      </w:r>
      <w:r w:rsidRPr="00E707D0">
        <w:t xml:space="preserve"> resulted in the </w:t>
      </w:r>
      <w:r w:rsidR="007562D8">
        <w:t xml:space="preserve">housing </w:t>
      </w:r>
      <w:r w:rsidRPr="00E707D0">
        <w:t>requirement being revised to 8,822 dwellings (2018–2033</w:t>
      </w:r>
      <w:r w:rsidR="007562D8">
        <w:t>, 588 per year</w:t>
      </w:r>
      <w:r w:rsidRPr="00E707D0">
        <w:t>), based on a 10-year migration trend</w:t>
      </w:r>
      <w:r w:rsidR="00E3723E">
        <w:t xml:space="preserve"> scenario (</w:t>
      </w:r>
      <w:r w:rsidR="00D1455E" w:rsidRPr="007E1418">
        <w:rPr>
          <w:i/>
          <w:iCs/>
        </w:rPr>
        <w:t>PG-10</w:t>
      </w:r>
      <w:r w:rsidR="00472315">
        <w:rPr>
          <w:i/>
          <w:iCs/>
        </w:rPr>
        <w:t>Y</w:t>
      </w:r>
      <w:r w:rsidR="00D1455E" w:rsidRPr="007E1418">
        <w:rPr>
          <w:i/>
          <w:iCs/>
        </w:rPr>
        <w:t xml:space="preserve"> </w:t>
      </w:r>
      <w:r w:rsidR="00D1455E">
        <w:rPr>
          <w:i/>
          <w:iCs/>
        </w:rPr>
        <w:t>(</w:t>
      </w:r>
      <w:r w:rsidR="00D1455E" w:rsidRPr="007E1418">
        <w:rPr>
          <w:i/>
          <w:iCs/>
        </w:rPr>
        <w:t>2019</w:t>
      </w:r>
      <w:r w:rsidR="00D1455E">
        <w:rPr>
          <w:i/>
          <w:iCs/>
        </w:rPr>
        <w:t>)</w:t>
      </w:r>
      <w:r w:rsidR="00E3723E">
        <w:t>)</w:t>
      </w:r>
      <w:r>
        <w:t>.</w:t>
      </w:r>
      <w:r w:rsidR="00C5626B">
        <w:rPr>
          <w:rStyle w:val="FootnoteReference"/>
        </w:rPr>
        <w:footnoteReference w:id="3"/>
      </w:r>
      <w:r w:rsidR="00593E31">
        <w:t xml:space="preserve"> The</w:t>
      </w:r>
      <w:r w:rsidR="00593E31" w:rsidRPr="00593E31">
        <w:t xml:space="preserve"> </w:t>
      </w:r>
      <w:r w:rsidR="00593E31">
        <w:t>official benchmark</w:t>
      </w:r>
      <w:r w:rsidR="005C6CEE">
        <w:t>s</w:t>
      </w:r>
      <w:r w:rsidR="00593E31">
        <w:t xml:space="preserve"> in this study </w:t>
      </w:r>
      <w:r w:rsidR="005C6CEE">
        <w:t>were</w:t>
      </w:r>
      <w:r w:rsidR="00593E31">
        <w:t xml:space="preserve"> the Welsh Government’s 2018-based population </w:t>
      </w:r>
      <w:r w:rsidR="005C6CEE">
        <w:t xml:space="preserve">and household </w:t>
      </w:r>
      <w:r w:rsidR="00593E31">
        <w:t>projection</w:t>
      </w:r>
      <w:r w:rsidR="005C6CEE">
        <w:t>s</w:t>
      </w:r>
      <w:r w:rsidR="00593E31">
        <w:t>.</w:t>
      </w:r>
    </w:p>
    <w:p w14:paraId="27AE49B1" w14:textId="284CC79E" w:rsidR="00417F97" w:rsidRDefault="00371FA6" w:rsidP="00AF0041">
      <w:pPr>
        <w:pStyle w:val="ListParagraph"/>
      </w:pPr>
      <w:r w:rsidRPr="00AF0041">
        <w:t>Since the R</w:t>
      </w:r>
      <w:r w:rsidR="007562D8" w:rsidRPr="00AF0041">
        <w:t>evised L</w:t>
      </w:r>
      <w:r w:rsidRPr="00AF0041">
        <w:t>DP</w:t>
      </w:r>
      <w:r w:rsidR="009067A0" w:rsidRPr="00AF0041">
        <w:t xml:space="preserve"> was submitted for Examination, the Welsh Government has published its </w:t>
      </w:r>
      <w:r w:rsidR="00E3723E" w:rsidRPr="00AF0041">
        <w:rPr>
          <w:rStyle w:val="FootnoteReference"/>
          <w:vertAlign w:val="baseline"/>
        </w:rPr>
        <w:t xml:space="preserve"> </w:t>
      </w:r>
      <w:r w:rsidR="00B424F9" w:rsidRPr="00AF0041">
        <w:t>2022-</w:t>
      </w:r>
      <w:r w:rsidR="00AF0041">
        <w:t>b</w:t>
      </w:r>
      <w:r w:rsidR="00B424F9" w:rsidRPr="00AF0041">
        <w:t>ased local authority population and household projection</w:t>
      </w:r>
      <w:r w:rsidR="00A672B6" w:rsidRPr="00AF0041">
        <w:t>s</w:t>
      </w:r>
      <w:r w:rsidR="00B424F9" w:rsidRPr="00AF0041">
        <w:t>, superseding the</w:t>
      </w:r>
      <w:r w:rsidR="009067A0" w:rsidRPr="00AF0041">
        <w:t xml:space="preserve"> previous </w:t>
      </w:r>
      <w:r w:rsidR="00B424F9" w:rsidRPr="00AF0041">
        <w:t>2018-based projections. As part of the Examination process, the Inspector has requested that the Council review the latest W</w:t>
      </w:r>
      <w:r w:rsidR="002A7C9B">
        <w:t>elsh Government</w:t>
      </w:r>
      <w:r w:rsidR="00B424F9" w:rsidRPr="00AF0041">
        <w:t xml:space="preserve"> projections</w:t>
      </w:r>
      <w:r w:rsidR="00417F97" w:rsidRPr="00AF0041">
        <w:t>, assessing their implications for the Revised Carmarthenshire LDP.</w:t>
      </w:r>
    </w:p>
    <w:p w14:paraId="2CEC916C" w14:textId="343E1FA6" w:rsidR="00597AF0" w:rsidRDefault="00B424F9" w:rsidP="00B424F9">
      <w:pPr>
        <w:pStyle w:val="ListParagraph"/>
      </w:pPr>
      <w:r>
        <w:t xml:space="preserve">This </w:t>
      </w:r>
      <w:r w:rsidR="007D7CA3">
        <w:t xml:space="preserve">briefing note </w:t>
      </w:r>
      <w:r>
        <w:t xml:space="preserve">presents </w:t>
      </w:r>
      <w:r w:rsidR="007D7CA3">
        <w:t xml:space="preserve">an overview of the </w:t>
      </w:r>
      <w:r w:rsidR="00E778C9">
        <w:t>published</w:t>
      </w:r>
      <w:r w:rsidR="007D7CA3">
        <w:t xml:space="preserve"> 2022-based population and household projections</w:t>
      </w:r>
      <w:r w:rsidR="000346AC">
        <w:t xml:space="preserve"> for Carmarthenshire</w:t>
      </w:r>
      <w:r w:rsidR="00E778C9">
        <w:t xml:space="preserve"> Unitary Authority</w:t>
      </w:r>
      <w:r w:rsidR="00E32BAA">
        <w:t xml:space="preserve"> (UA), </w:t>
      </w:r>
      <w:r w:rsidR="00E778C9">
        <w:t xml:space="preserve">i.e. the full administrative extent of the district, including </w:t>
      </w:r>
      <w:r w:rsidR="00525225">
        <w:t xml:space="preserve">the portion </w:t>
      </w:r>
      <w:r w:rsidR="007416EF">
        <w:t xml:space="preserve">within </w:t>
      </w:r>
      <w:r w:rsidR="00525225">
        <w:t>the BBNP</w:t>
      </w:r>
      <w:r w:rsidR="00597AF0">
        <w:t xml:space="preserve"> (Section </w:t>
      </w:r>
      <w:r w:rsidR="00CE64A8">
        <w:fldChar w:fldCharType="begin"/>
      </w:r>
      <w:r w:rsidR="00CE64A8">
        <w:instrText xml:space="preserve"> REF _Ref220654707 \r \h </w:instrText>
      </w:r>
      <w:r w:rsidR="00CE64A8">
        <w:fldChar w:fldCharType="separate"/>
      </w:r>
      <w:r w:rsidR="00CF2253">
        <w:t>2</w:t>
      </w:r>
      <w:r w:rsidR="00CE64A8">
        <w:fldChar w:fldCharType="end"/>
      </w:r>
      <w:r w:rsidR="00597AF0">
        <w:t>).</w:t>
      </w:r>
    </w:p>
    <w:p w14:paraId="109F8B2E" w14:textId="540E0317" w:rsidR="00525225" w:rsidRDefault="00525225" w:rsidP="00B424F9">
      <w:pPr>
        <w:pStyle w:val="ListParagraph"/>
      </w:pPr>
      <w:r>
        <w:t>For comparison with the preferred demographic scenario (</w:t>
      </w:r>
      <w:r w:rsidRPr="00E65186">
        <w:rPr>
          <w:i/>
          <w:iCs/>
        </w:rPr>
        <w:t>PG-10</w:t>
      </w:r>
      <w:r w:rsidR="00F545B4">
        <w:rPr>
          <w:i/>
          <w:iCs/>
        </w:rPr>
        <w:t>Y</w:t>
      </w:r>
      <w:r w:rsidRPr="00E65186">
        <w:rPr>
          <w:i/>
          <w:iCs/>
        </w:rPr>
        <w:t xml:space="preserve"> (2019</w:t>
      </w:r>
      <w:r w:rsidRPr="007E1418">
        <w:rPr>
          <w:i/>
          <w:iCs/>
        </w:rPr>
        <w:t>)</w:t>
      </w:r>
      <w:r>
        <w:t xml:space="preserve">), </w:t>
      </w:r>
      <w:r w:rsidR="009848B7">
        <w:t xml:space="preserve">the official </w:t>
      </w:r>
      <w:r w:rsidR="00AF03F6">
        <w:t xml:space="preserve">2022-based </w:t>
      </w:r>
      <w:r w:rsidR="009848B7">
        <w:t>projections have been apportioned to the Carmarthenshire local planning authority</w:t>
      </w:r>
      <w:r w:rsidR="00E32BAA">
        <w:t xml:space="preserve"> (LPA), </w:t>
      </w:r>
      <w:r w:rsidR="00523D86">
        <w:t xml:space="preserve">i.e. </w:t>
      </w:r>
      <w:r w:rsidR="007B6A11">
        <w:t xml:space="preserve">the area </w:t>
      </w:r>
      <w:r w:rsidR="007B6A11" w:rsidRPr="007E1418">
        <w:rPr>
          <w:i/>
          <w:iCs/>
        </w:rPr>
        <w:t>excluding</w:t>
      </w:r>
      <w:r w:rsidR="007B6A11">
        <w:t xml:space="preserve"> the BBNP</w:t>
      </w:r>
      <w:r w:rsidR="00597AF0">
        <w:t xml:space="preserve"> (see Section </w:t>
      </w:r>
      <w:r w:rsidR="00CE64A8">
        <w:fldChar w:fldCharType="begin"/>
      </w:r>
      <w:r w:rsidR="00CE64A8">
        <w:instrText xml:space="preserve"> REF _Ref220654719 \r \h </w:instrText>
      </w:r>
      <w:r w:rsidR="00CE64A8">
        <w:fldChar w:fldCharType="separate"/>
      </w:r>
      <w:r w:rsidR="00CF2253">
        <w:t>3</w:t>
      </w:r>
      <w:r w:rsidR="00CE64A8">
        <w:fldChar w:fldCharType="end"/>
      </w:r>
      <w:r w:rsidR="00597AF0">
        <w:t>).</w:t>
      </w:r>
    </w:p>
    <w:p w14:paraId="7ADF2795" w14:textId="675C303B" w:rsidR="00417F97" w:rsidRPr="00417F97" w:rsidRDefault="00A30B0F" w:rsidP="007E1418">
      <w:pPr>
        <w:pStyle w:val="Heading1"/>
      </w:pPr>
      <w:bookmarkStart w:id="10" w:name="_Ref220654707"/>
      <w:bookmarkStart w:id="11" w:name="_Toc220661310"/>
      <w:r w:rsidRPr="00417F97">
        <w:lastRenderedPageBreak/>
        <w:t xml:space="preserve">2022-Based </w:t>
      </w:r>
      <w:r w:rsidR="00EA3811">
        <w:t xml:space="preserve">Official </w:t>
      </w:r>
      <w:r w:rsidRPr="00417F97">
        <w:t>Projections</w:t>
      </w:r>
      <w:bookmarkEnd w:id="10"/>
      <w:bookmarkEnd w:id="11"/>
    </w:p>
    <w:p w14:paraId="0FA4F2BE" w14:textId="3EAB53C0" w:rsidR="00EA3811" w:rsidRDefault="00EA3811" w:rsidP="007E1418">
      <w:pPr>
        <w:pStyle w:val="Heading2"/>
      </w:pPr>
      <w:bookmarkStart w:id="12" w:name="_Toc220661311"/>
      <w:r>
        <w:t>Scenario Variants</w:t>
      </w:r>
      <w:bookmarkEnd w:id="12"/>
    </w:p>
    <w:p w14:paraId="3BB26626" w14:textId="26E3128C" w:rsidR="00090627" w:rsidRDefault="0061148E" w:rsidP="0042413D">
      <w:pPr>
        <w:pStyle w:val="ListParagraph"/>
      </w:pPr>
      <w:r>
        <w:t>The</w:t>
      </w:r>
      <w:r w:rsidR="00576349">
        <w:t xml:space="preserve"> Welsh Government’s</w:t>
      </w:r>
      <w:r>
        <w:t xml:space="preserve"> 2022-based projections </w:t>
      </w:r>
      <w:r w:rsidR="00AB49FF">
        <w:t xml:space="preserve">provide </w:t>
      </w:r>
      <w:r w:rsidR="00573A54" w:rsidRPr="00573A54">
        <w:t>statistics on the</w:t>
      </w:r>
      <w:r w:rsidR="007B0F87">
        <w:t xml:space="preserve"> future</w:t>
      </w:r>
      <w:r w:rsidR="00573A54" w:rsidRPr="00573A54">
        <w:t xml:space="preserve"> potential </w:t>
      </w:r>
      <w:r w:rsidR="00573A54">
        <w:t>size and structure of the population</w:t>
      </w:r>
      <w:r w:rsidR="00B61919">
        <w:t>, as well as the number and type of households that might form</w:t>
      </w:r>
      <w:r w:rsidR="00221F64">
        <w:t xml:space="preserve"> </w:t>
      </w:r>
      <w:r w:rsidR="002A7C9B">
        <w:t>between</w:t>
      </w:r>
      <w:r w:rsidR="00221F64">
        <w:t xml:space="preserve"> 2022 </w:t>
      </w:r>
      <w:r w:rsidR="002A7C9B">
        <w:t>and</w:t>
      </w:r>
      <w:r w:rsidR="00221F64">
        <w:t xml:space="preserve"> 2047</w:t>
      </w:r>
      <w:r w:rsidR="00AC363C">
        <w:t xml:space="preserve">. </w:t>
      </w:r>
    </w:p>
    <w:p w14:paraId="00E1BE64" w14:textId="168803C4" w:rsidR="00090627" w:rsidRDefault="00090627" w:rsidP="00090627">
      <w:pPr>
        <w:pStyle w:val="ListParagraph"/>
      </w:pPr>
      <w:r>
        <w:t>As in previous rounds of projections, a</w:t>
      </w:r>
      <w:r w:rsidR="0023460E">
        <w:t xml:space="preserve"> central or ‘principal’ scenario has been produced</w:t>
      </w:r>
      <w:r w:rsidR="002A7C9B">
        <w:t xml:space="preserve"> by Welsh Government</w:t>
      </w:r>
      <w:r w:rsidR="0023460E">
        <w:t>, together with a</w:t>
      </w:r>
      <w:r>
        <w:t xml:space="preserve"> range of </w:t>
      </w:r>
      <w:r w:rsidR="001C70AC">
        <w:t xml:space="preserve">population projections </w:t>
      </w:r>
      <w:r>
        <w:t>variants (</w:t>
      </w:r>
      <w:r>
        <w:fldChar w:fldCharType="begin"/>
      </w:r>
      <w:r>
        <w:instrText xml:space="preserve"> REF _Ref220507040 \h </w:instrText>
      </w:r>
      <w:r>
        <w:fldChar w:fldCharType="separate"/>
      </w:r>
      <w:r w:rsidR="00CF2253">
        <w:t xml:space="preserve">Table </w:t>
      </w:r>
      <w:r w:rsidR="00CF2253">
        <w:rPr>
          <w:noProof/>
        </w:rPr>
        <w:t>1</w:t>
      </w:r>
      <w:r>
        <w:fldChar w:fldCharType="end"/>
      </w:r>
      <w:r>
        <w:t>). Each scenario variant has a 2022 mid-year estimate (MYE) base year.</w:t>
      </w:r>
      <w:r w:rsidR="00797893">
        <w:t xml:space="preserve"> For each population </w:t>
      </w:r>
      <w:r w:rsidR="00033758">
        <w:t>projection</w:t>
      </w:r>
      <w:r w:rsidR="00797893">
        <w:t xml:space="preserve">, there is a corresponding household projection, derived through the application of </w:t>
      </w:r>
      <w:r w:rsidR="00924DD2">
        <w:t>household ‘membership rates’ to the</w:t>
      </w:r>
      <w:r w:rsidR="00597AF0">
        <w:t xml:space="preserve"> each of the variant</w:t>
      </w:r>
      <w:r w:rsidR="00924DD2">
        <w:t xml:space="preserve"> population</w:t>
      </w:r>
      <w:r w:rsidR="00597AF0">
        <w:t xml:space="preserve"> projections.</w:t>
      </w:r>
    </w:p>
    <w:p w14:paraId="6F51BD4B" w14:textId="24E36005" w:rsidR="00090627" w:rsidRDefault="00090627" w:rsidP="00090627">
      <w:pPr>
        <w:pStyle w:val="TableCaption"/>
      </w:pPr>
      <w:bookmarkStart w:id="13" w:name="_Ref220507040"/>
      <w:r>
        <w:t xml:space="preserve">Table </w:t>
      </w:r>
      <w:r w:rsidR="00CF2253">
        <w:fldChar w:fldCharType="begin"/>
      </w:r>
      <w:r w:rsidR="00CF2253">
        <w:instrText xml:space="preserve"> SEQ Table \* ARABIC </w:instrText>
      </w:r>
      <w:r w:rsidR="00CF2253">
        <w:fldChar w:fldCharType="separate"/>
      </w:r>
      <w:r w:rsidR="00CF2253">
        <w:rPr>
          <w:noProof/>
        </w:rPr>
        <w:t>1</w:t>
      </w:r>
      <w:r w:rsidR="00CF2253">
        <w:rPr>
          <w:noProof/>
        </w:rPr>
        <w:fldChar w:fldCharType="end"/>
      </w:r>
      <w:bookmarkEnd w:id="13"/>
      <w:r>
        <w:t xml:space="preserve">: Welsh </w:t>
      </w:r>
      <w:r w:rsidRPr="00886BF6">
        <w:t>Government</w:t>
      </w:r>
      <w:r>
        <w:t xml:space="preserve"> projection variants</w:t>
      </w:r>
    </w:p>
    <w:tbl>
      <w:tblPr>
        <w:tblStyle w:val="TableGrid"/>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702"/>
        <w:gridCol w:w="7368"/>
      </w:tblGrid>
      <w:tr w:rsidR="00090627" w14:paraId="2522B8FC" w14:textId="77777777" w:rsidTr="00EF0E27">
        <w:trPr>
          <w:trHeight w:val="397"/>
        </w:trPr>
        <w:tc>
          <w:tcPr>
            <w:tcW w:w="938" w:type="pct"/>
            <w:vAlign w:val="center"/>
          </w:tcPr>
          <w:p w14:paraId="2DD7E494" w14:textId="34FB3087" w:rsidR="00090627" w:rsidRPr="006949DD" w:rsidRDefault="00B748AA" w:rsidP="00EF0E27">
            <w:pPr>
              <w:spacing w:before="0" w:line="240" w:lineRule="auto"/>
              <w:rPr>
                <w:color w:val="144166"/>
                <w:sz w:val="19"/>
                <w:szCs w:val="19"/>
              </w:rPr>
            </w:pPr>
            <w:r>
              <w:rPr>
                <w:color w:val="144166"/>
                <w:sz w:val="19"/>
                <w:szCs w:val="19"/>
              </w:rPr>
              <w:t>Projection</w:t>
            </w:r>
          </w:p>
        </w:tc>
        <w:tc>
          <w:tcPr>
            <w:tcW w:w="4062" w:type="pct"/>
            <w:vAlign w:val="center"/>
          </w:tcPr>
          <w:p w14:paraId="4E68CA39" w14:textId="77777777" w:rsidR="00090627" w:rsidRPr="006949DD" w:rsidRDefault="00090627" w:rsidP="00EF0E27">
            <w:pPr>
              <w:spacing w:before="0" w:line="240" w:lineRule="auto"/>
              <w:rPr>
                <w:color w:val="144166"/>
                <w:sz w:val="19"/>
                <w:szCs w:val="19"/>
              </w:rPr>
            </w:pPr>
            <w:r w:rsidRPr="006949DD">
              <w:rPr>
                <w:color w:val="144166"/>
                <w:sz w:val="19"/>
                <w:szCs w:val="19"/>
              </w:rPr>
              <w:t>Description</w:t>
            </w:r>
          </w:p>
        </w:tc>
      </w:tr>
      <w:tr w:rsidR="00090627" w14:paraId="1B67C7A3" w14:textId="77777777" w:rsidTr="007E1418">
        <w:trPr>
          <w:trHeight w:val="20"/>
        </w:trPr>
        <w:tc>
          <w:tcPr>
            <w:tcW w:w="938" w:type="pct"/>
            <w:tcMar>
              <w:top w:w="85" w:type="dxa"/>
              <w:bottom w:w="85" w:type="dxa"/>
            </w:tcMar>
            <w:vAlign w:val="center"/>
          </w:tcPr>
          <w:p w14:paraId="401F71F1" w14:textId="77777777" w:rsidR="00090627" w:rsidRPr="00460897" w:rsidRDefault="00090627" w:rsidP="007D1D08">
            <w:pPr>
              <w:spacing w:before="0" w:line="240" w:lineRule="auto"/>
              <w:rPr>
                <w:sz w:val="19"/>
                <w:szCs w:val="19"/>
              </w:rPr>
            </w:pPr>
            <w:r w:rsidRPr="00460897">
              <w:rPr>
                <w:sz w:val="19"/>
                <w:szCs w:val="19"/>
              </w:rPr>
              <w:t>Principal</w:t>
            </w:r>
          </w:p>
        </w:tc>
        <w:tc>
          <w:tcPr>
            <w:tcW w:w="4062" w:type="pct"/>
            <w:tcMar>
              <w:top w:w="85" w:type="dxa"/>
              <w:bottom w:w="85" w:type="dxa"/>
            </w:tcMar>
            <w:vAlign w:val="center"/>
          </w:tcPr>
          <w:p w14:paraId="1162EE97" w14:textId="29112DFE" w:rsidR="00090627" w:rsidRPr="00886BF6" w:rsidRDefault="00090627" w:rsidP="007D1D08">
            <w:pPr>
              <w:spacing w:before="0" w:line="240" w:lineRule="auto"/>
              <w:rPr>
                <w:sz w:val="19"/>
                <w:szCs w:val="19"/>
              </w:rPr>
            </w:pPr>
            <w:r>
              <w:rPr>
                <w:sz w:val="19"/>
                <w:szCs w:val="19"/>
              </w:rPr>
              <w:t xml:space="preserve">Principal projection, </w:t>
            </w:r>
            <w:r w:rsidR="003A2175">
              <w:rPr>
                <w:sz w:val="19"/>
                <w:szCs w:val="19"/>
              </w:rPr>
              <w:t xml:space="preserve">using </w:t>
            </w:r>
            <w:r>
              <w:rPr>
                <w:sz w:val="19"/>
                <w:szCs w:val="19"/>
              </w:rPr>
              <w:t>5-year migration trends (internal and international) and 5-year fertility and mortality trends.</w:t>
            </w:r>
          </w:p>
        </w:tc>
      </w:tr>
      <w:tr w:rsidR="00090627" w14:paraId="3E9A5009" w14:textId="77777777" w:rsidTr="007E1418">
        <w:trPr>
          <w:trHeight w:val="20"/>
        </w:trPr>
        <w:tc>
          <w:tcPr>
            <w:tcW w:w="938" w:type="pct"/>
            <w:tcMar>
              <w:top w:w="85" w:type="dxa"/>
              <w:bottom w:w="85" w:type="dxa"/>
            </w:tcMar>
            <w:vAlign w:val="center"/>
          </w:tcPr>
          <w:p w14:paraId="77627534" w14:textId="77777777" w:rsidR="00090627" w:rsidRPr="000B49FE" w:rsidRDefault="00090627" w:rsidP="007D1D08">
            <w:pPr>
              <w:spacing w:before="0" w:line="240" w:lineRule="auto"/>
              <w:rPr>
                <w:sz w:val="19"/>
                <w:szCs w:val="19"/>
              </w:rPr>
            </w:pPr>
            <w:r w:rsidRPr="006949DD">
              <w:rPr>
                <w:sz w:val="19"/>
                <w:szCs w:val="19"/>
              </w:rPr>
              <w:t>High population</w:t>
            </w:r>
          </w:p>
        </w:tc>
        <w:tc>
          <w:tcPr>
            <w:tcW w:w="4062" w:type="pct"/>
            <w:tcMar>
              <w:top w:w="85" w:type="dxa"/>
              <w:bottom w:w="85" w:type="dxa"/>
            </w:tcMar>
            <w:vAlign w:val="center"/>
          </w:tcPr>
          <w:p w14:paraId="1737468D" w14:textId="77777777" w:rsidR="00090627" w:rsidRPr="00886BF6" w:rsidRDefault="00090627" w:rsidP="007D1D08">
            <w:pPr>
              <w:spacing w:before="0" w:line="240" w:lineRule="auto"/>
              <w:rPr>
                <w:sz w:val="19"/>
                <w:szCs w:val="19"/>
              </w:rPr>
            </w:pPr>
            <w:r>
              <w:rPr>
                <w:sz w:val="19"/>
                <w:szCs w:val="19"/>
              </w:rPr>
              <w:t>High fertility and high life expectancy, migration assumptions aligned with the principal projection.</w:t>
            </w:r>
          </w:p>
        </w:tc>
      </w:tr>
      <w:tr w:rsidR="00090627" w14:paraId="3BE52530" w14:textId="77777777" w:rsidTr="007E1418">
        <w:trPr>
          <w:trHeight w:val="20"/>
        </w:trPr>
        <w:tc>
          <w:tcPr>
            <w:tcW w:w="938" w:type="pct"/>
            <w:tcMar>
              <w:top w:w="85" w:type="dxa"/>
              <w:bottom w:w="85" w:type="dxa"/>
            </w:tcMar>
            <w:vAlign w:val="center"/>
          </w:tcPr>
          <w:p w14:paraId="40FD47AE" w14:textId="77777777" w:rsidR="00090627" w:rsidRPr="000B49FE" w:rsidRDefault="00090627" w:rsidP="007D1D08">
            <w:pPr>
              <w:spacing w:before="0" w:line="240" w:lineRule="auto"/>
              <w:rPr>
                <w:sz w:val="19"/>
                <w:szCs w:val="19"/>
              </w:rPr>
            </w:pPr>
            <w:r w:rsidRPr="006949DD">
              <w:rPr>
                <w:sz w:val="19"/>
                <w:szCs w:val="19"/>
              </w:rPr>
              <w:t>Low population</w:t>
            </w:r>
          </w:p>
        </w:tc>
        <w:tc>
          <w:tcPr>
            <w:tcW w:w="4062" w:type="pct"/>
            <w:tcMar>
              <w:top w:w="85" w:type="dxa"/>
              <w:bottom w:w="85" w:type="dxa"/>
            </w:tcMar>
            <w:vAlign w:val="center"/>
          </w:tcPr>
          <w:p w14:paraId="4FB3B2F4" w14:textId="77777777" w:rsidR="00090627" w:rsidRPr="00886BF6" w:rsidRDefault="00090627" w:rsidP="007D1D08">
            <w:pPr>
              <w:spacing w:before="0" w:line="240" w:lineRule="auto"/>
              <w:rPr>
                <w:sz w:val="19"/>
                <w:szCs w:val="19"/>
              </w:rPr>
            </w:pPr>
            <w:r>
              <w:rPr>
                <w:sz w:val="19"/>
                <w:szCs w:val="19"/>
              </w:rPr>
              <w:t>Low fertility and low life expectancy, migration assumptions aligned with the principal projection.</w:t>
            </w:r>
          </w:p>
        </w:tc>
      </w:tr>
      <w:tr w:rsidR="00090627" w14:paraId="7E819737" w14:textId="77777777" w:rsidTr="007E1418">
        <w:trPr>
          <w:trHeight w:val="340"/>
        </w:trPr>
        <w:tc>
          <w:tcPr>
            <w:tcW w:w="938" w:type="pct"/>
            <w:tcMar>
              <w:top w:w="85" w:type="dxa"/>
              <w:bottom w:w="85" w:type="dxa"/>
            </w:tcMar>
            <w:vAlign w:val="center"/>
          </w:tcPr>
          <w:p w14:paraId="60D08784" w14:textId="77777777" w:rsidR="00090627" w:rsidRPr="000B49FE" w:rsidRDefault="00090627" w:rsidP="007D1D08">
            <w:pPr>
              <w:spacing w:before="0" w:line="240" w:lineRule="auto"/>
              <w:rPr>
                <w:sz w:val="19"/>
                <w:szCs w:val="19"/>
              </w:rPr>
            </w:pPr>
            <w:r w:rsidRPr="006949DD">
              <w:rPr>
                <w:sz w:val="19"/>
                <w:szCs w:val="19"/>
              </w:rPr>
              <w:t xml:space="preserve">10 </w:t>
            </w:r>
            <w:proofErr w:type="gramStart"/>
            <w:r w:rsidRPr="006949DD">
              <w:rPr>
                <w:sz w:val="19"/>
                <w:szCs w:val="19"/>
              </w:rPr>
              <w:t>year</w:t>
            </w:r>
            <w:proofErr w:type="gramEnd"/>
            <w:r w:rsidRPr="006949DD">
              <w:rPr>
                <w:sz w:val="19"/>
                <w:szCs w:val="19"/>
              </w:rPr>
              <w:t xml:space="preserve"> </w:t>
            </w:r>
          </w:p>
        </w:tc>
        <w:tc>
          <w:tcPr>
            <w:tcW w:w="4062" w:type="pct"/>
            <w:tcMar>
              <w:top w:w="85" w:type="dxa"/>
              <w:bottom w:w="85" w:type="dxa"/>
            </w:tcMar>
            <w:vAlign w:val="center"/>
          </w:tcPr>
          <w:p w14:paraId="3AEBAE11" w14:textId="1974B5F4" w:rsidR="00090627" w:rsidRPr="00886BF6" w:rsidRDefault="00090627" w:rsidP="007D1D08">
            <w:pPr>
              <w:spacing w:before="0" w:line="240" w:lineRule="auto"/>
              <w:rPr>
                <w:sz w:val="19"/>
                <w:szCs w:val="19"/>
              </w:rPr>
            </w:pPr>
            <w:r>
              <w:rPr>
                <w:sz w:val="19"/>
                <w:szCs w:val="19"/>
              </w:rPr>
              <w:t>10-year average migration (internal and international)</w:t>
            </w:r>
            <w:r w:rsidR="00D71BC5">
              <w:rPr>
                <w:sz w:val="19"/>
                <w:szCs w:val="19"/>
              </w:rPr>
              <w:t>.</w:t>
            </w:r>
          </w:p>
        </w:tc>
      </w:tr>
      <w:tr w:rsidR="00090627" w14:paraId="04D61A72" w14:textId="77777777" w:rsidTr="007E1418">
        <w:trPr>
          <w:trHeight w:val="340"/>
        </w:trPr>
        <w:tc>
          <w:tcPr>
            <w:tcW w:w="938" w:type="pct"/>
            <w:tcMar>
              <w:top w:w="85" w:type="dxa"/>
              <w:bottom w:w="85" w:type="dxa"/>
            </w:tcMar>
            <w:vAlign w:val="center"/>
          </w:tcPr>
          <w:p w14:paraId="4C931F67" w14:textId="77777777" w:rsidR="00090627" w:rsidRPr="000B49FE" w:rsidRDefault="00090627" w:rsidP="007D1D08">
            <w:pPr>
              <w:spacing w:before="0" w:line="240" w:lineRule="auto"/>
              <w:rPr>
                <w:sz w:val="19"/>
                <w:szCs w:val="19"/>
              </w:rPr>
            </w:pPr>
            <w:r w:rsidRPr="006949DD">
              <w:rPr>
                <w:sz w:val="19"/>
                <w:szCs w:val="19"/>
              </w:rPr>
              <w:t xml:space="preserve">15 </w:t>
            </w:r>
            <w:proofErr w:type="gramStart"/>
            <w:r w:rsidRPr="006949DD">
              <w:rPr>
                <w:sz w:val="19"/>
                <w:szCs w:val="19"/>
              </w:rPr>
              <w:t>year</w:t>
            </w:r>
            <w:proofErr w:type="gramEnd"/>
          </w:p>
        </w:tc>
        <w:tc>
          <w:tcPr>
            <w:tcW w:w="4062" w:type="pct"/>
            <w:tcMar>
              <w:top w:w="85" w:type="dxa"/>
              <w:bottom w:w="85" w:type="dxa"/>
            </w:tcMar>
            <w:vAlign w:val="center"/>
          </w:tcPr>
          <w:p w14:paraId="43288729" w14:textId="2D750D36" w:rsidR="00090627" w:rsidRPr="00886BF6" w:rsidRDefault="00090627" w:rsidP="007D1D08">
            <w:pPr>
              <w:spacing w:before="0" w:line="240" w:lineRule="auto"/>
              <w:rPr>
                <w:sz w:val="19"/>
                <w:szCs w:val="19"/>
              </w:rPr>
            </w:pPr>
            <w:r>
              <w:rPr>
                <w:sz w:val="19"/>
                <w:szCs w:val="19"/>
              </w:rPr>
              <w:t>15-year average migration (internal and international)</w:t>
            </w:r>
            <w:r w:rsidR="00D71BC5">
              <w:rPr>
                <w:sz w:val="19"/>
                <w:szCs w:val="19"/>
              </w:rPr>
              <w:t>.</w:t>
            </w:r>
          </w:p>
        </w:tc>
      </w:tr>
      <w:tr w:rsidR="00090627" w14:paraId="5B64297D" w14:textId="77777777" w:rsidTr="007E1418">
        <w:trPr>
          <w:trHeight w:val="340"/>
        </w:trPr>
        <w:tc>
          <w:tcPr>
            <w:tcW w:w="938" w:type="pct"/>
            <w:tcMar>
              <w:top w:w="85" w:type="dxa"/>
              <w:bottom w:w="85" w:type="dxa"/>
            </w:tcMar>
            <w:vAlign w:val="center"/>
          </w:tcPr>
          <w:p w14:paraId="24C14622" w14:textId="77777777" w:rsidR="00090627" w:rsidRPr="005A59ED" w:rsidRDefault="00090627" w:rsidP="007D1D08">
            <w:pPr>
              <w:spacing w:before="0" w:line="240" w:lineRule="auto"/>
              <w:rPr>
                <w:sz w:val="19"/>
                <w:szCs w:val="19"/>
              </w:rPr>
            </w:pPr>
            <w:r>
              <w:rPr>
                <w:sz w:val="19"/>
                <w:szCs w:val="19"/>
              </w:rPr>
              <w:t>Zero migration</w:t>
            </w:r>
          </w:p>
        </w:tc>
        <w:tc>
          <w:tcPr>
            <w:tcW w:w="4062" w:type="pct"/>
            <w:tcMar>
              <w:top w:w="85" w:type="dxa"/>
              <w:bottom w:w="85" w:type="dxa"/>
            </w:tcMar>
            <w:vAlign w:val="center"/>
          </w:tcPr>
          <w:p w14:paraId="25AC3B1A" w14:textId="7E889399" w:rsidR="00090627" w:rsidRDefault="00090627" w:rsidP="007D1D08">
            <w:pPr>
              <w:spacing w:before="0" w:line="240" w:lineRule="auto"/>
              <w:rPr>
                <w:sz w:val="19"/>
                <w:szCs w:val="19"/>
              </w:rPr>
            </w:pPr>
            <w:r>
              <w:rPr>
                <w:sz w:val="19"/>
                <w:szCs w:val="19"/>
              </w:rPr>
              <w:t>Natural change only (the balance between births and deaths)</w:t>
            </w:r>
            <w:r w:rsidR="00D71BC5">
              <w:rPr>
                <w:sz w:val="19"/>
                <w:szCs w:val="19"/>
              </w:rPr>
              <w:t>.</w:t>
            </w:r>
          </w:p>
        </w:tc>
      </w:tr>
    </w:tbl>
    <w:p w14:paraId="2C988078" w14:textId="77777777" w:rsidR="00090627" w:rsidRDefault="00090627" w:rsidP="00090627">
      <w:pPr>
        <w:pStyle w:val="TableNote"/>
      </w:pPr>
      <w:r>
        <w:t>Source: WG</w:t>
      </w:r>
    </w:p>
    <w:p w14:paraId="003B2EC5" w14:textId="729520B1" w:rsidR="00187B28" w:rsidRDefault="00AC363C" w:rsidP="0042413D">
      <w:pPr>
        <w:pStyle w:val="ListParagraph"/>
      </w:pPr>
      <w:r>
        <w:t>Headline</w:t>
      </w:r>
      <w:r w:rsidR="002A7C9B">
        <w:t xml:space="preserve"> population and household</w:t>
      </w:r>
      <w:r>
        <w:t xml:space="preserve"> </w:t>
      </w:r>
      <w:r w:rsidR="00815E31">
        <w:t xml:space="preserve">projection </w:t>
      </w:r>
      <w:r w:rsidR="00CA58C2">
        <w:t>outcomes</w:t>
      </w:r>
      <w:r>
        <w:t xml:space="preserve"> were published in November 202</w:t>
      </w:r>
      <w:r w:rsidR="00A672B6">
        <w:t xml:space="preserve">5; since then, </w:t>
      </w:r>
      <w:r w:rsidR="00D57BC4">
        <w:t>a range of data detail has been published, although</w:t>
      </w:r>
      <w:r w:rsidR="00C8130B">
        <w:t xml:space="preserve"> as of January 2026,</w:t>
      </w:r>
      <w:r w:rsidR="00D57BC4">
        <w:t xml:space="preserve"> </w:t>
      </w:r>
      <w:r w:rsidR="00BF4F32">
        <w:t>the full range of scenario evidence is currently unavailable</w:t>
      </w:r>
      <w:r w:rsidR="0023460E">
        <w:t xml:space="preserve"> for all variants.</w:t>
      </w:r>
    </w:p>
    <w:p w14:paraId="63CDA538" w14:textId="46B57C1D" w:rsidR="00573A54" w:rsidRDefault="001E6BEB" w:rsidP="0042413D">
      <w:pPr>
        <w:pStyle w:val="ListParagraph"/>
      </w:pPr>
      <w:r>
        <w:t xml:space="preserve">The information that is currently </w:t>
      </w:r>
      <w:r w:rsidRPr="007E1418">
        <w:rPr>
          <w:u w:val="single"/>
        </w:rPr>
        <w:t>unavailable</w:t>
      </w:r>
      <w:r w:rsidR="00BF4F32">
        <w:t xml:space="preserve"> includes the </w:t>
      </w:r>
      <w:r w:rsidR="00AC3C90">
        <w:t xml:space="preserve">detailed ‘components of change’ </w:t>
      </w:r>
      <w:r w:rsidR="00C9447F">
        <w:t>(births, deaths and migration flow estimates) that</w:t>
      </w:r>
      <w:r w:rsidR="00815E31">
        <w:t xml:space="preserve"> </w:t>
      </w:r>
      <w:r w:rsidR="00AC3C90">
        <w:t xml:space="preserve">underpin the </w:t>
      </w:r>
      <w:r w:rsidR="009B013E" w:rsidRPr="007E1418">
        <w:rPr>
          <w:u w:val="single"/>
        </w:rPr>
        <w:t>variant</w:t>
      </w:r>
      <w:r w:rsidR="009B013E">
        <w:t xml:space="preserve"> </w:t>
      </w:r>
      <w:r w:rsidR="00AC3C90">
        <w:t>population projections</w:t>
      </w:r>
      <w:r w:rsidR="002A7C9B">
        <w:t>,</w:t>
      </w:r>
      <w:r w:rsidR="00A61CC5">
        <w:t xml:space="preserve"> </w:t>
      </w:r>
      <w:r w:rsidR="00AF6C11">
        <w:t xml:space="preserve">household projection data detail (e.g. household types </w:t>
      </w:r>
      <w:r w:rsidR="007A1C4E">
        <w:t>and age breakdowns, membership rates)</w:t>
      </w:r>
      <w:r w:rsidR="002A7C9B">
        <w:t>,</w:t>
      </w:r>
      <w:r w:rsidR="007A1C4E">
        <w:t xml:space="preserve"> </w:t>
      </w:r>
      <w:r w:rsidR="00A61CC5">
        <w:t xml:space="preserve">as well as the </w:t>
      </w:r>
      <w:r w:rsidR="009048DB">
        <w:t xml:space="preserve">accompanying </w:t>
      </w:r>
      <w:r w:rsidR="00BF4F32">
        <w:t xml:space="preserve">technical </w:t>
      </w:r>
      <w:r w:rsidR="000A5D7C">
        <w:t xml:space="preserve">report on </w:t>
      </w:r>
      <w:r w:rsidR="00C43E4D">
        <w:t>quality, methods and assumptions.</w:t>
      </w:r>
    </w:p>
    <w:p w14:paraId="182C379F" w14:textId="6C82119C" w:rsidR="00A9062B" w:rsidRDefault="006A4D7B" w:rsidP="0042413D">
      <w:pPr>
        <w:pStyle w:val="ListParagraph"/>
      </w:pPr>
      <w:r>
        <w:t>T</w:t>
      </w:r>
      <w:r w:rsidR="00270BD6">
        <w:t>h</w:t>
      </w:r>
      <w:r>
        <w:t xml:space="preserve">e focus of this </w:t>
      </w:r>
      <w:r w:rsidR="00647AF7">
        <w:t xml:space="preserve">note </w:t>
      </w:r>
      <w:r>
        <w:t>is the</w:t>
      </w:r>
      <w:r w:rsidR="009048DB">
        <w:t>refore the</w:t>
      </w:r>
      <w:r w:rsidR="002A7C9B">
        <w:t xml:space="preserve"> 2022-based</w:t>
      </w:r>
      <w:r>
        <w:t xml:space="preserve"> </w:t>
      </w:r>
      <w:r>
        <w:rPr>
          <w:i/>
          <w:iCs/>
        </w:rPr>
        <w:t xml:space="preserve">Principal </w:t>
      </w:r>
      <w:r>
        <w:t>projection</w:t>
      </w:r>
      <w:r w:rsidR="003E010C">
        <w:t>; reference is made to the projection variants where data availability permits.</w:t>
      </w:r>
      <w:r w:rsidR="00597AF0">
        <w:t xml:space="preserve"> The evidence presented below summarises the key headlines from the published projection evidence for Carmarthenshire UA</w:t>
      </w:r>
      <w:r w:rsidR="002A7C9B">
        <w:t>.</w:t>
      </w:r>
    </w:p>
    <w:p w14:paraId="669E0E30" w14:textId="67FB12B2" w:rsidR="003E010C" w:rsidRDefault="003E010C">
      <w:pPr>
        <w:spacing w:before="0" w:after="160" w:line="259" w:lineRule="auto"/>
      </w:pPr>
      <w:r>
        <w:br w:type="page"/>
      </w:r>
    </w:p>
    <w:p w14:paraId="59C00E92" w14:textId="66725D6D" w:rsidR="00460897" w:rsidRDefault="009B3FEA" w:rsidP="007E1418">
      <w:pPr>
        <w:pStyle w:val="Heading2"/>
      </w:pPr>
      <w:bookmarkStart w:id="14" w:name="_Toc220661312"/>
      <w:r>
        <w:lastRenderedPageBreak/>
        <w:t>2022-based Projection Headlines</w:t>
      </w:r>
      <w:bookmarkEnd w:id="14"/>
    </w:p>
    <w:p w14:paraId="75BC0571" w14:textId="5E402874" w:rsidR="005E3BBF" w:rsidRDefault="009B3FEA" w:rsidP="007E1418">
      <w:pPr>
        <w:pStyle w:val="Heading3"/>
      </w:pPr>
      <w:bookmarkStart w:id="15" w:name="_Toc220661313"/>
      <w:r>
        <w:t>Population</w:t>
      </w:r>
      <w:bookmarkEnd w:id="15"/>
    </w:p>
    <w:p w14:paraId="09E22D3F" w14:textId="4E7D3152" w:rsidR="00460897" w:rsidRDefault="00460897" w:rsidP="007E1418">
      <w:pPr>
        <w:pStyle w:val="ListParagraph"/>
      </w:pPr>
      <w:r>
        <w:fldChar w:fldCharType="begin"/>
      </w:r>
      <w:r>
        <w:instrText xml:space="preserve"> REF _Ref220072946 \h </w:instrText>
      </w:r>
      <w:r>
        <w:fldChar w:fldCharType="separate"/>
      </w:r>
      <w:r w:rsidR="00CF2253">
        <w:t xml:space="preserve">Figure </w:t>
      </w:r>
      <w:r w:rsidR="00CF2253">
        <w:rPr>
          <w:noProof/>
        </w:rPr>
        <w:t>1</w:t>
      </w:r>
      <w:r>
        <w:fldChar w:fldCharType="end"/>
      </w:r>
      <w:r w:rsidR="000346AC">
        <w:t xml:space="preserve"> compares the population growth outcomes </w:t>
      </w:r>
      <w:r w:rsidR="003370FC">
        <w:t xml:space="preserve">for the 2022-based </w:t>
      </w:r>
      <w:r w:rsidR="00131DB0">
        <w:t xml:space="preserve">population projections </w:t>
      </w:r>
      <w:r w:rsidR="00B36933">
        <w:t>for Carmarthenshire</w:t>
      </w:r>
      <w:r w:rsidR="00E32BAA">
        <w:t xml:space="preserve"> UA</w:t>
      </w:r>
      <w:r w:rsidR="00E15AF7">
        <w:t>.</w:t>
      </w:r>
      <w:r w:rsidR="00917698">
        <w:t xml:space="preserve"> The historical</w:t>
      </w:r>
      <w:r w:rsidR="0020305E">
        <w:t xml:space="preserve"> mid-year population estimates (MYE) are included up to the 2022 scenario base year; these are the historical population estimates that have informed the development of the official projections</w:t>
      </w:r>
      <w:r w:rsidR="009D14DB">
        <w:t xml:space="preserve"> (see further detail below).</w:t>
      </w:r>
    </w:p>
    <w:p w14:paraId="54AB40D6" w14:textId="064FB0CB" w:rsidR="00460897" w:rsidRDefault="00FE7FE0" w:rsidP="000D0966">
      <w:pPr>
        <w:pStyle w:val="Figure"/>
        <w:keepNext/>
        <w:spacing w:before="0"/>
      </w:pPr>
      <w:r w:rsidRPr="00FE7FE0">
        <w:rPr>
          <w:noProof/>
        </w:rPr>
        <w:drawing>
          <wp:inline distT="0" distB="0" distL="0" distR="0" wp14:anchorId="499D1FAA" wp14:editId="3E344CF7">
            <wp:extent cx="4994031" cy="2952410"/>
            <wp:effectExtent l="0" t="0" r="0" b="0"/>
            <wp:docPr id="739827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1010" cy="2956536"/>
                    </a:xfrm>
                    <a:prstGeom prst="rect">
                      <a:avLst/>
                    </a:prstGeom>
                    <a:noFill/>
                    <a:ln>
                      <a:noFill/>
                    </a:ln>
                  </pic:spPr>
                </pic:pic>
              </a:graphicData>
            </a:graphic>
          </wp:inline>
        </w:drawing>
      </w:r>
    </w:p>
    <w:p w14:paraId="48E341C2" w14:textId="7E9D8BC7" w:rsidR="00460897" w:rsidRDefault="00460897" w:rsidP="00460897">
      <w:pPr>
        <w:pStyle w:val="Caption"/>
      </w:pPr>
      <w:bookmarkStart w:id="16" w:name="_Ref220072946"/>
      <w:r>
        <w:t xml:space="preserve">Figure </w:t>
      </w:r>
      <w:r w:rsidR="00CF2253">
        <w:fldChar w:fldCharType="begin"/>
      </w:r>
      <w:r w:rsidR="00CF2253">
        <w:instrText xml:space="preserve"> SEQ Figure \* ARABIC </w:instrText>
      </w:r>
      <w:r w:rsidR="00CF2253">
        <w:fldChar w:fldCharType="separate"/>
      </w:r>
      <w:r w:rsidR="00CF2253">
        <w:rPr>
          <w:noProof/>
        </w:rPr>
        <w:t>1</w:t>
      </w:r>
      <w:r w:rsidR="00CF2253">
        <w:rPr>
          <w:noProof/>
        </w:rPr>
        <w:fldChar w:fldCharType="end"/>
      </w:r>
      <w:bookmarkEnd w:id="16"/>
      <w:r>
        <w:t xml:space="preserve">: Carmarthenshire </w:t>
      </w:r>
      <w:r w:rsidR="00404268">
        <w:t>UA</w:t>
      </w:r>
      <w:r>
        <w:t xml:space="preserve">: </w:t>
      </w:r>
      <w:r w:rsidR="009924B3">
        <w:t>WG</w:t>
      </w:r>
      <w:r>
        <w:t xml:space="preserve"> population projections</w:t>
      </w:r>
    </w:p>
    <w:p w14:paraId="515E9E85" w14:textId="45906717" w:rsidR="00460897" w:rsidRDefault="00460897" w:rsidP="00460897">
      <w:pPr>
        <w:pStyle w:val="FigureNote"/>
        <w:spacing w:before="0"/>
      </w:pPr>
      <w:r>
        <w:t>Source: WG</w:t>
      </w:r>
      <w:r w:rsidR="00EC1B53">
        <w:t>, ONS</w:t>
      </w:r>
    </w:p>
    <w:p w14:paraId="3E5F5AE7" w14:textId="3B55F3E9" w:rsidR="00863670" w:rsidRDefault="00863670" w:rsidP="00863670">
      <w:pPr>
        <w:pStyle w:val="ListParagraph"/>
      </w:pPr>
      <w:r>
        <w:t xml:space="preserve">The </w:t>
      </w:r>
      <w:r>
        <w:rPr>
          <w:i/>
          <w:iCs/>
        </w:rPr>
        <w:t>Principal</w:t>
      </w:r>
      <w:r>
        <w:t xml:space="preserve"> </w:t>
      </w:r>
      <w:r w:rsidR="002A7C9B">
        <w:t>scenario</w:t>
      </w:r>
      <w:r>
        <w:t xml:space="preserve"> projects a 12.7% growth in the </w:t>
      </w:r>
      <w:r w:rsidRPr="00590107">
        <w:t>population (+23,952</w:t>
      </w:r>
      <w:r>
        <w:t xml:space="preserve"> people) over the 25-year projection period. With no migration, the </w:t>
      </w:r>
      <w:r w:rsidRPr="003774ED">
        <w:rPr>
          <w:i/>
          <w:iCs/>
        </w:rPr>
        <w:t>Zero migration</w:t>
      </w:r>
      <w:r>
        <w:t xml:space="preserve"> scenario results in population decline in Carmarthenshire (-13.8%), a result of an ageing population and a projected excess of deaths over births. </w:t>
      </w:r>
      <w:r w:rsidR="00CD20C4">
        <w:t xml:space="preserve">The other scenario variants result in growth ranging from 8.1% under the </w:t>
      </w:r>
      <w:r w:rsidR="00CD20C4" w:rsidRPr="007E1418">
        <w:rPr>
          <w:i/>
          <w:iCs/>
        </w:rPr>
        <w:t>15 year</w:t>
      </w:r>
      <w:r w:rsidR="00CD20C4">
        <w:t xml:space="preserve"> scenario, to </w:t>
      </w:r>
      <w:r w:rsidR="00846C59">
        <w:t xml:space="preserve">14.7% under the </w:t>
      </w:r>
      <w:r w:rsidR="00846C59" w:rsidRPr="007E1418">
        <w:rPr>
          <w:i/>
          <w:iCs/>
        </w:rPr>
        <w:t>High Population</w:t>
      </w:r>
      <w:r w:rsidR="00846C59">
        <w:t xml:space="preserve"> scenario.</w:t>
      </w:r>
    </w:p>
    <w:p w14:paraId="5ACF01B8" w14:textId="0E73695C" w:rsidR="001D6DB4" w:rsidRDefault="001D6DB4" w:rsidP="001D6DB4">
      <w:pPr>
        <w:pStyle w:val="ListParagraph"/>
      </w:pPr>
      <w:r>
        <w:t>The differing population growth outcomes</w:t>
      </w:r>
      <w:r w:rsidR="009719DF">
        <w:t xml:space="preserve"> </w:t>
      </w:r>
      <w:r w:rsidR="00E15567">
        <w:t xml:space="preserve">are a </w:t>
      </w:r>
      <w:r>
        <w:t>result of the variant fertility and migration assumptions applied by Welsh Government</w:t>
      </w:r>
      <w:r w:rsidR="002A7C9B">
        <w:t xml:space="preserve"> in each scenario</w:t>
      </w:r>
      <w:r>
        <w:t xml:space="preserve"> (as summarised in </w:t>
      </w:r>
      <w:r>
        <w:fldChar w:fldCharType="begin"/>
      </w:r>
      <w:r>
        <w:instrText xml:space="preserve"> REF _Ref220507040 \h </w:instrText>
      </w:r>
      <w:r>
        <w:fldChar w:fldCharType="separate"/>
      </w:r>
      <w:r w:rsidR="00CF2253">
        <w:t xml:space="preserve">Table </w:t>
      </w:r>
      <w:r w:rsidR="00CF2253">
        <w:rPr>
          <w:noProof/>
        </w:rPr>
        <w:t>1</w:t>
      </w:r>
      <w:r>
        <w:fldChar w:fldCharType="end"/>
      </w:r>
      <w:r>
        <w:t xml:space="preserve">). As of January 2026, however, only the component data sitting behind the </w:t>
      </w:r>
      <w:proofErr w:type="gramStart"/>
      <w:r w:rsidRPr="000D3BC8">
        <w:rPr>
          <w:i/>
          <w:iCs/>
        </w:rPr>
        <w:t>Principal</w:t>
      </w:r>
      <w:proofErr w:type="gramEnd"/>
      <w:r w:rsidRPr="000D3BC8">
        <w:rPr>
          <w:i/>
          <w:iCs/>
        </w:rPr>
        <w:t xml:space="preserve"> </w:t>
      </w:r>
      <w:r>
        <w:t>projection has been published</w:t>
      </w:r>
      <w:r w:rsidR="000D3BC8">
        <w:t xml:space="preserve"> and is</w:t>
      </w:r>
      <w:r>
        <w:t xml:space="preserve"> summarised below in </w:t>
      </w:r>
      <w:r>
        <w:fldChar w:fldCharType="begin"/>
      </w:r>
      <w:r>
        <w:instrText xml:space="preserve"> REF _Ref219990899 \h </w:instrText>
      </w:r>
      <w:r>
        <w:fldChar w:fldCharType="separate"/>
      </w:r>
      <w:r w:rsidR="00CF2253">
        <w:t xml:space="preserve">Figure </w:t>
      </w:r>
      <w:r w:rsidR="00CF2253">
        <w:rPr>
          <w:noProof/>
        </w:rPr>
        <w:t>2</w:t>
      </w:r>
      <w:r>
        <w:fldChar w:fldCharType="end"/>
      </w:r>
      <w:r>
        <w:t>.</w:t>
      </w:r>
      <w:r w:rsidR="00D820AB">
        <w:t xml:space="preserve"> For context, </w:t>
      </w:r>
      <w:r w:rsidR="00EC1B53">
        <w:t>the historical components of change are also included</w:t>
      </w:r>
      <w:r w:rsidR="002A7C9B">
        <w:t xml:space="preserve"> up to 2021/22</w:t>
      </w:r>
      <w:r w:rsidR="00573E43">
        <w:t xml:space="preserve">; the future fertility, mortality and migration estimates have been derived by Welsh Government </w:t>
      </w:r>
      <w:r w:rsidR="002A7C9B">
        <w:t>using this historical</w:t>
      </w:r>
      <w:r w:rsidR="00573E43">
        <w:t xml:space="preserve"> data.</w:t>
      </w:r>
    </w:p>
    <w:p w14:paraId="3D128740" w14:textId="01E14C99" w:rsidR="003970E7" w:rsidRPr="00A539B0" w:rsidRDefault="003970E7" w:rsidP="003970E7">
      <w:pPr>
        <w:pStyle w:val="ListParagraph"/>
      </w:pPr>
      <w:r>
        <w:t>The projected components of change continue the positive contribution that net internal (domestic) migration has had on population growth in Carmarthenshire UA over the last 5 years, averaging +2,091 per year (2022</w:t>
      </w:r>
      <w:r w:rsidR="00537D30" w:rsidRPr="00E707D0">
        <w:t>–</w:t>
      </w:r>
      <w:r>
        <w:t>2047).</w:t>
      </w:r>
      <w:r w:rsidR="00900DC0">
        <w:t xml:space="preserve"> </w:t>
      </w:r>
    </w:p>
    <w:p w14:paraId="02E4C6E2" w14:textId="39583469" w:rsidR="000002A0" w:rsidRDefault="004A2138" w:rsidP="000002A0">
      <w:pPr>
        <w:pStyle w:val="Figure"/>
        <w:keepNext/>
        <w:spacing w:before="120"/>
      </w:pPr>
      <w:bookmarkStart w:id="17" w:name="_Ref220066376"/>
      <w:r w:rsidRPr="004A2138">
        <w:lastRenderedPageBreak/>
        <w:t xml:space="preserve"> </w:t>
      </w:r>
      <w:r w:rsidR="00A4726D" w:rsidRPr="00A4726D">
        <w:rPr>
          <w:noProof/>
        </w:rPr>
        <w:drawing>
          <wp:inline distT="0" distB="0" distL="0" distR="0" wp14:anchorId="41525F09" wp14:editId="4A789AB8">
            <wp:extent cx="5759450" cy="2270125"/>
            <wp:effectExtent l="0" t="0" r="0" b="0"/>
            <wp:docPr id="406264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270125"/>
                    </a:xfrm>
                    <a:prstGeom prst="rect">
                      <a:avLst/>
                    </a:prstGeom>
                    <a:noFill/>
                    <a:ln>
                      <a:noFill/>
                    </a:ln>
                  </pic:spPr>
                </pic:pic>
              </a:graphicData>
            </a:graphic>
          </wp:inline>
        </w:drawing>
      </w:r>
    </w:p>
    <w:p w14:paraId="1DAE7936" w14:textId="6CF79A49" w:rsidR="000002A0" w:rsidRDefault="000002A0" w:rsidP="007E1418">
      <w:pPr>
        <w:pStyle w:val="Caption"/>
        <w:ind w:left="1276" w:right="1557"/>
      </w:pPr>
      <w:bookmarkStart w:id="18" w:name="_Ref219990899"/>
      <w:bookmarkStart w:id="19" w:name="_Ref220604379"/>
      <w:r>
        <w:t xml:space="preserve">Figure </w:t>
      </w:r>
      <w:r w:rsidR="00CF2253">
        <w:fldChar w:fldCharType="begin"/>
      </w:r>
      <w:r w:rsidR="00CF2253">
        <w:instrText xml:space="preserve"> SEQ Figure \* ARABIC </w:instrText>
      </w:r>
      <w:r w:rsidR="00CF2253">
        <w:fldChar w:fldCharType="separate"/>
      </w:r>
      <w:r w:rsidR="00CF2253">
        <w:rPr>
          <w:noProof/>
        </w:rPr>
        <w:t>2</w:t>
      </w:r>
      <w:r w:rsidR="00CF2253">
        <w:rPr>
          <w:noProof/>
        </w:rPr>
        <w:fldChar w:fldCharType="end"/>
      </w:r>
      <w:bookmarkEnd w:id="18"/>
      <w:r>
        <w:t xml:space="preserve">: Carmarthenshire Unitary Authority: MYE and 2022-based WG </w:t>
      </w:r>
      <w:r w:rsidRPr="00425BE1">
        <w:rPr>
          <w:i/>
          <w:iCs/>
        </w:rPr>
        <w:t>Principal</w:t>
      </w:r>
      <w:r>
        <w:t xml:space="preserve"> population projection components of population change</w:t>
      </w:r>
      <w:r w:rsidR="00080134">
        <w:t>.</w:t>
      </w:r>
      <w:bookmarkEnd w:id="19"/>
    </w:p>
    <w:p w14:paraId="496CCD6F" w14:textId="45C34CF4" w:rsidR="000002A0" w:rsidRDefault="000002A0" w:rsidP="007E1418">
      <w:pPr>
        <w:pStyle w:val="FigureNote"/>
        <w:spacing w:before="0"/>
        <w:ind w:left="1134" w:right="1415"/>
      </w:pPr>
      <w:r>
        <w:t>Source: WG</w:t>
      </w:r>
      <w:r w:rsidR="00045573">
        <w:t>, ONS</w:t>
      </w:r>
      <w:r w:rsidR="00080134">
        <w:t>. Note that UPC refers to Unattributable Population Change, which is a</w:t>
      </w:r>
      <w:r w:rsidR="00536FA1">
        <w:t xml:space="preserve"> result of the post-Census rebasing of the MYE (see paragraph</w:t>
      </w:r>
      <w:r w:rsidR="0006708A">
        <w:t xml:space="preserve"> </w:t>
      </w:r>
      <w:r w:rsidR="00B777C5">
        <w:fldChar w:fldCharType="begin"/>
      </w:r>
      <w:r w:rsidR="00B777C5">
        <w:instrText xml:space="preserve"> REF _Ref220655259 \r \h </w:instrText>
      </w:r>
      <w:r w:rsidR="00B777C5">
        <w:fldChar w:fldCharType="separate"/>
      </w:r>
      <w:r w:rsidR="00CF2253">
        <w:t>2.17</w:t>
      </w:r>
      <w:r w:rsidR="00B777C5">
        <w:fldChar w:fldCharType="end"/>
      </w:r>
      <w:r w:rsidR="00B777C5">
        <w:t>,</w:t>
      </w:r>
      <w:r w:rsidR="0006708A">
        <w:t xml:space="preserve"> </w:t>
      </w:r>
      <w:r w:rsidR="00536FA1">
        <w:t>below).</w:t>
      </w:r>
    </w:p>
    <w:bookmarkEnd w:id="17"/>
    <w:p w14:paraId="043F60D6" w14:textId="7214F38F" w:rsidR="00BA10E4" w:rsidRPr="00BA10E4" w:rsidRDefault="00BA10E4" w:rsidP="00BA10E4">
      <w:pPr>
        <w:pStyle w:val="ListParagraph"/>
      </w:pPr>
      <w:r>
        <w:t>Natural change</w:t>
      </w:r>
      <w:r w:rsidR="0019061D">
        <w:t xml:space="preserve"> (the balance between births and deaths)</w:t>
      </w:r>
      <w:r>
        <w:t xml:space="preserve"> is expected to have an increasingly negative impact on population growth</w:t>
      </w:r>
      <w:r w:rsidR="00C41F99">
        <w:t xml:space="preserve"> in Carmarthenshire </w:t>
      </w:r>
      <w:r w:rsidR="007A460D">
        <w:t>UA</w:t>
      </w:r>
      <w:r w:rsidR="007A7C52">
        <w:t xml:space="preserve">, </w:t>
      </w:r>
      <w:r w:rsidR="00DF02CE">
        <w:t>reflective of</w:t>
      </w:r>
      <w:r w:rsidR="00874008">
        <w:t xml:space="preserve"> </w:t>
      </w:r>
      <w:r w:rsidR="003F399F">
        <w:t>a</w:t>
      </w:r>
      <w:r w:rsidR="00874008">
        <w:t xml:space="preserve"> </w:t>
      </w:r>
      <w:r w:rsidR="00D57FE0">
        <w:t xml:space="preserve">continued </w:t>
      </w:r>
      <w:r w:rsidR="00874008">
        <w:t>falli</w:t>
      </w:r>
      <w:r w:rsidR="008C5797">
        <w:t>ng birth rat</w:t>
      </w:r>
      <w:r w:rsidR="00DF02CE">
        <w:t>e</w:t>
      </w:r>
      <w:r w:rsidR="00FC1CB1">
        <w:t xml:space="preserve"> and an ageing populatio</w:t>
      </w:r>
      <w:r w:rsidR="004B3978">
        <w:t>n</w:t>
      </w:r>
      <w:r w:rsidR="00055163">
        <w:t xml:space="preserve"> (</w:t>
      </w:r>
      <w:r w:rsidR="008C5797">
        <w:t xml:space="preserve">annual births decreased by 10.9% </w:t>
      </w:r>
      <w:r w:rsidR="0049301C">
        <w:t>between 2017/18</w:t>
      </w:r>
      <w:r w:rsidR="00E238C1">
        <w:t xml:space="preserve"> and </w:t>
      </w:r>
      <w:r w:rsidR="003F399F">
        <w:t>2021/22</w:t>
      </w:r>
      <w:r w:rsidR="00055163">
        <w:t>)</w:t>
      </w:r>
      <w:r w:rsidR="00A539B0">
        <w:t xml:space="preserve">. </w:t>
      </w:r>
      <w:r w:rsidR="00886CA3">
        <w:t xml:space="preserve">The </w:t>
      </w:r>
      <w:r w:rsidR="004B3978">
        <w:t xml:space="preserve">projected </w:t>
      </w:r>
      <w:r w:rsidR="00886CA3">
        <w:t xml:space="preserve">decline in natural change </w:t>
      </w:r>
      <w:r>
        <w:t>mirror</w:t>
      </w:r>
      <w:r w:rsidR="00886CA3">
        <w:t>s</w:t>
      </w:r>
      <w:r>
        <w:t xml:space="preserve"> national trends</w:t>
      </w:r>
      <w:r w:rsidR="00E137F4">
        <w:t xml:space="preserve">; </w:t>
      </w:r>
      <w:r>
        <w:t xml:space="preserve">fertility rates are projected to fall across Wales and the wider UK </w:t>
      </w:r>
      <w:r w:rsidR="00E137F4">
        <w:t xml:space="preserve">to 2047 </w:t>
      </w:r>
      <w:r>
        <w:t>(</w:t>
      </w:r>
      <w:r>
        <w:fldChar w:fldCharType="begin"/>
      </w:r>
      <w:r>
        <w:instrText xml:space="preserve"> REF _Ref220071919 \h </w:instrText>
      </w:r>
      <w:r>
        <w:fldChar w:fldCharType="separate"/>
      </w:r>
      <w:r w:rsidR="00CF2253">
        <w:t xml:space="preserve">Table </w:t>
      </w:r>
      <w:r w:rsidR="00CF2253">
        <w:rPr>
          <w:noProof/>
        </w:rPr>
        <w:t>2</w:t>
      </w:r>
      <w:r>
        <w:fldChar w:fldCharType="end"/>
      </w:r>
      <w:r>
        <w:t>).</w:t>
      </w:r>
      <w:r>
        <w:rPr>
          <w:rStyle w:val="FootnoteReference"/>
        </w:rPr>
        <w:footnoteReference w:id="4"/>
      </w:r>
    </w:p>
    <w:p w14:paraId="792DC0EB" w14:textId="7FAF0337" w:rsidR="00D95F40" w:rsidRDefault="00D95F40" w:rsidP="00D95F40">
      <w:pPr>
        <w:pStyle w:val="TableCaption"/>
      </w:pPr>
      <w:bookmarkStart w:id="20" w:name="_Ref220071919"/>
      <w:r>
        <w:t xml:space="preserve">Table </w:t>
      </w:r>
      <w:r w:rsidR="00CF2253">
        <w:fldChar w:fldCharType="begin"/>
      </w:r>
      <w:r w:rsidR="00CF2253">
        <w:instrText xml:space="preserve"> SEQ Table \* ARABIC </w:instrText>
      </w:r>
      <w:r w:rsidR="00CF2253">
        <w:fldChar w:fldCharType="separate"/>
      </w:r>
      <w:r w:rsidR="00CF2253">
        <w:rPr>
          <w:noProof/>
        </w:rPr>
        <w:t>2</w:t>
      </w:r>
      <w:r w:rsidR="00CF2253">
        <w:rPr>
          <w:noProof/>
        </w:rPr>
        <w:fldChar w:fldCharType="end"/>
      </w:r>
      <w:bookmarkEnd w:id="20"/>
      <w:r>
        <w:t>: 2022-based national population projection fertility rates</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644"/>
        <w:gridCol w:w="1644"/>
        <w:gridCol w:w="1644"/>
      </w:tblGrid>
      <w:tr w:rsidR="00D95F40" w14:paraId="7890EA58" w14:textId="77777777" w:rsidTr="00EF0E27">
        <w:trPr>
          <w:trHeight w:val="397"/>
        </w:trPr>
        <w:tc>
          <w:tcPr>
            <w:tcW w:w="1644" w:type="dxa"/>
            <w:vAlign w:val="center"/>
          </w:tcPr>
          <w:p w14:paraId="6B4F001D" w14:textId="77777777" w:rsidR="00D95F40" w:rsidRPr="000676DA" w:rsidRDefault="00D95F40" w:rsidP="00EF0E27">
            <w:pPr>
              <w:spacing w:before="0" w:line="240" w:lineRule="auto"/>
              <w:jc w:val="center"/>
              <w:rPr>
                <w:sz w:val="19"/>
                <w:szCs w:val="19"/>
              </w:rPr>
            </w:pPr>
            <w:r w:rsidRPr="000676DA">
              <w:rPr>
                <w:sz w:val="19"/>
                <w:szCs w:val="19"/>
              </w:rPr>
              <w:t>Fertility Rate</w:t>
            </w:r>
          </w:p>
        </w:tc>
        <w:tc>
          <w:tcPr>
            <w:tcW w:w="1644" w:type="dxa"/>
            <w:vAlign w:val="center"/>
          </w:tcPr>
          <w:p w14:paraId="50C44568" w14:textId="77777777" w:rsidR="00D95F40" w:rsidRPr="000676DA" w:rsidRDefault="00D95F40" w:rsidP="00EF0E27">
            <w:pPr>
              <w:spacing w:before="0" w:line="240" w:lineRule="auto"/>
              <w:jc w:val="center"/>
              <w:rPr>
                <w:sz w:val="19"/>
                <w:szCs w:val="19"/>
              </w:rPr>
            </w:pPr>
            <w:r w:rsidRPr="000676DA">
              <w:rPr>
                <w:sz w:val="19"/>
                <w:szCs w:val="19"/>
              </w:rPr>
              <w:t>Mid-2022</w:t>
            </w:r>
          </w:p>
        </w:tc>
        <w:tc>
          <w:tcPr>
            <w:tcW w:w="1644" w:type="dxa"/>
            <w:vAlign w:val="center"/>
          </w:tcPr>
          <w:p w14:paraId="14A77DC7" w14:textId="77777777" w:rsidR="00D95F40" w:rsidRPr="000676DA" w:rsidRDefault="00D95F40" w:rsidP="00EF0E27">
            <w:pPr>
              <w:spacing w:before="0" w:line="240" w:lineRule="auto"/>
              <w:jc w:val="center"/>
              <w:rPr>
                <w:sz w:val="19"/>
                <w:szCs w:val="19"/>
              </w:rPr>
            </w:pPr>
            <w:r w:rsidRPr="000676DA">
              <w:rPr>
                <w:sz w:val="19"/>
                <w:szCs w:val="19"/>
              </w:rPr>
              <w:t>Mid-2047</w:t>
            </w:r>
          </w:p>
        </w:tc>
      </w:tr>
      <w:tr w:rsidR="00D95F40" w14:paraId="790D47A6" w14:textId="77777777" w:rsidTr="00EF0E27">
        <w:trPr>
          <w:trHeight w:val="397"/>
        </w:trPr>
        <w:tc>
          <w:tcPr>
            <w:tcW w:w="1644" w:type="dxa"/>
            <w:vAlign w:val="center"/>
          </w:tcPr>
          <w:p w14:paraId="6A7B34DE" w14:textId="77777777" w:rsidR="00D95F40" w:rsidRPr="000676DA" w:rsidRDefault="00D95F40" w:rsidP="00EF0E27">
            <w:pPr>
              <w:spacing w:before="0" w:line="240" w:lineRule="auto"/>
              <w:rPr>
                <w:sz w:val="19"/>
                <w:szCs w:val="19"/>
              </w:rPr>
            </w:pPr>
            <w:r w:rsidRPr="000676DA">
              <w:rPr>
                <w:sz w:val="19"/>
                <w:szCs w:val="19"/>
              </w:rPr>
              <w:t>Wales</w:t>
            </w:r>
          </w:p>
        </w:tc>
        <w:tc>
          <w:tcPr>
            <w:tcW w:w="1644" w:type="dxa"/>
            <w:vAlign w:val="center"/>
          </w:tcPr>
          <w:p w14:paraId="13A80F14" w14:textId="77777777" w:rsidR="00D95F40" w:rsidRPr="000676DA" w:rsidRDefault="00D95F40" w:rsidP="00EF0E27">
            <w:pPr>
              <w:spacing w:before="0" w:line="240" w:lineRule="auto"/>
              <w:jc w:val="center"/>
              <w:rPr>
                <w:sz w:val="19"/>
                <w:szCs w:val="19"/>
              </w:rPr>
            </w:pPr>
            <w:r w:rsidRPr="000676DA">
              <w:rPr>
                <w:sz w:val="19"/>
                <w:szCs w:val="19"/>
              </w:rPr>
              <w:t>1.46</w:t>
            </w:r>
          </w:p>
        </w:tc>
        <w:tc>
          <w:tcPr>
            <w:tcW w:w="1644" w:type="dxa"/>
            <w:vAlign w:val="center"/>
          </w:tcPr>
          <w:p w14:paraId="3157315B" w14:textId="77777777" w:rsidR="00D95F40" w:rsidRPr="000676DA" w:rsidRDefault="00D95F40" w:rsidP="00EF0E27">
            <w:pPr>
              <w:spacing w:before="0" w:line="240" w:lineRule="auto"/>
              <w:jc w:val="center"/>
              <w:rPr>
                <w:sz w:val="19"/>
                <w:szCs w:val="19"/>
              </w:rPr>
            </w:pPr>
            <w:r w:rsidRPr="000676DA">
              <w:rPr>
                <w:sz w:val="19"/>
                <w:szCs w:val="19"/>
              </w:rPr>
              <w:t>1.40</w:t>
            </w:r>
          </w:p>
        </w:tc>
      </w:tr>
      <w:tr w:rsidR="00D95F40" w14:paraId="45CFF067" w14:textId="77777777" w:rsidTr="00EF0E27">
        <w:trPr>
          <w:trHeight w:val="397"/>
        </w:trPr>
        <w:tc>
          <w:tcPr>
            <w:tcW w:w="1644" w:type="dxa"/>
            <w:vAlign w:val="center"/>
          </w:tcPr>
          <w:p w14:paraId="0D82921C" w14:textId="77777777" w:rsidR="00D95F40" w:rsidRPr="000676DA" w:rsidRDefault="00D95F40" w:rsidP="00EF0E27">
            <w:pPr>
              <w:spacing w:before="0" w:line="240" w:lineRule="auto"/>
              <w:rPr>
                <w:sz w:val="19"/>
                <w:szCs w:val="19"/>
              </w:rPr>
            </w:pPr>
            <w:r>
              <w:rPr>
                <w:sz w:val="19"/>
                <w:szCs w:val="19"/>
              </w:rPr>
              <w:t>UK</w:t>
            </w:r>
          </w:p>
        </w:tc>
        <w:tc>
          <w:tcPr>
            <w:tcW w:w="1644" w:type="dxa"/>
            <w:vAlign w:val="center"/>
          </w:tcPr>
          <w:p w14:paraId="652BF7BD" w14:textId="77777777" w:rsidR="00D95F40" w:rsidRPr="000676DA" w:rsidRDefault="00D95F40" w:rsidP="00EF0E27">
            <w:pPr>
              <w:spacing w:before="0" w:line="240" w:lineRule="auto"/>
              <w:jc w:val="center"/>
              <w:rPr>
                <w:sz w:val="19"/>
                <w:szCs w:val="19"/>
              </w:rPr>
            </w:pPr>
            <w:r>
              <w:rPr>
                <w:sz w:val="19"/>
                <w:szCs w:val="19"/>
              </w:rPr>
              <w:t>1.48</w:t>
            </w:r>
          </w:p>
        </w:tc>
        <w:tc>
          <w:tcPr>
            <w:tcW w:w="1644" w:type="dxa"/>
            <w:vAlign w:val="center"/>
          </w:tcPr>
          <w:p w14:paraId="62CBF702" w14:textId="77777777" w:rsidR="00D95F40" w:rsidRPr="000676DA" w:rsidRDefault="00D95F40" w:rsidP="00EF0E27">
            <w:pPr>
              <w:spacing w:before="0" w:line="240" w:lineRule="auto"/>
              <w:jc w:val="center"/>
              <w:rPr>
                <w:sz w:val="19"/>
                <w:szCs w:val="19"/>
              </w:rPr>
            </w:pPr>
            <w:r>
              <w:rPr>
                <w:sz w:val="19"/>
                <w:szCs w:val="19"/>
              </w:rPr>
              <w:t>1.45</w:t>
            </w:r>
          </w:p>
        </w:tc>
      </w:tr>
    </w:tbl>
    <w:p w14:paraId="55466FBD" w14:textId="77777777" w:rsidR="00D95F40" w:rsidRDefault="00D95F40" w:rsidP="00D95F40">
      <w:pPr>
        <w:pStyle w:val="TableNote"/>
      </w:pPr>
      <w:r>
        <w:t>Source: ONS</w:t>
      </w:r>
    </w:p>
    <w:p w14:paraId="0F830AE5" w14:textId="180CD695" w:rsidR="00B36E91" w:rsidRDefault="003970E7" w:rsidP="009C3B5F">
      <w:pPr>
        <w:pStyle w:val="ListParagraph"/>
      </w:pPr>
      <w:r>
        <w:t>Unlike</w:t>
      </w:r>
      <w:r w:rsidR="00B36E91">
        <w:t xml:space="preserve"> </w:t>
      </w:r>
      <w:r w:rsidR="00416B03">
        <w:t>natural change and net internal migration</w:t>
      </w:r>
      <w:r w:rsidR="00B36E91">
        <w:t xml:space="preserve">, net international (overseas) migration is projected to have a minimal impact on population growth in Carmarthenshire </w:t>
      </w:r>
      <w:r w:rsidR="00CC43F7">
        <w:t>UA</w:t>
      </w:r>
      <w:r w:rsidR="00EB777D">
        <w:t xml:space="preserve"> </w:t>
      </w:r>
      <w:r>
        <w:t>over the projection period</w:t>
      </w:r>
      <w:r w:rsidR="004A5174">
        <w:t>, averaging +</w:t>
      </w:r>
      <w:r w:rsidR="00162DAE">
        <w:t>75</w:t>
      </w:r>
      <w:r w:rsidR="004A5174">
        <w:t xml:space="preserve"> per year (2022</w:t>
      </w:r>
      <w:r w:rsidR="00162DAE">
        <w:t>–</w:t>
      </w:r>
      <w:r w:rsidR="004A5174">
        <w:t xml:space="preserve">2047). </w:t>
      </w:r>
      <w:r w:rsidR="00F36CF8">
        <w:t>Note that in the first two years of the projection, Welsh Government has constrained international migration to the published estimates from ONS</w:t>
      </w:r>
      <w:r w:rsidR="000D7BC9">
        <w:t xml:space="preserve">; this explains the </w:t>
      </w:r>
      <w:r w:rsidR="00895BA5">
        <w:t>uptick in 2022/23</w:t>
      </w:r>
      <w:r w:rsidR="000D7BC9">
        <w:t xml:space="preserve"> </w:t>
      </w:r>
      <w:r w:rsidR="00895BA5">
        <w:t xml:space="preserve">and 2023/24 in </w:t>
      </w:r>
      <w:r w:rsidR="00895BA5">
        <w:fldChar w:fldCharType="begin"/>
      </w:r>
      <w:r w:rsidR="00895BA5">
        <w:instrText xml:space="preserve"> REF _Ref219990899 \h </w:instrText>
      </w:r>
      <w:r w:rsidR="00895BA5">
        <w:fldChar w:fldCharType="separate"/>
      </w:r>
      <w:r w:rsidR="00CF2253">
        <w:t xml:space="preserve">Figure </w:t>
      </w:r>
      <w:r w:rsidR="00CF2253">
        <w:rPr>
          <w:noProof/>
        </w:rPr>
        <w:t>2</w:t>
      </w:r>
      <w:r w:rsidR="00895BA5">
        <w:fldChar w:fldCharType="end"/>
      </w:r>
      <w:r w:rsidR="00895BA5">
        <w:t xml:space="preserve"> above</w:t>
      </w:r>
      <w:r w:rsidR="007B3C89">
        <w:t xml:space="preserve"> compared to the subsequent projection years</w:t>
      </w:r>
      <w:r w:rsidR="00895BA5">
        <w:t>.</w:t>
      </w:r>
      <w:r w:rsidR="00BB3F49">
        <w:rPr>
          <w:rStyle w:val="FootnoteReference"/>
        </w:rPr>
        <w:footnoteReference w:id="5"/>
      </w:r>
      <w:r w:rsidR="00537D30">
        <w:t xml:space="preserve"> </w:t>
      </w:r>
    </w:p>
    <w:p w14:paraId="7406AA77" w14:textId="2D642D98" w:rsidR="00C8356E" w:rsidRDefault="00DF234A" w:rsidP="00B36E91">
      <w:pPr>
        <w:pStyle w:val="ListParagraph"/>
      </w:pPr>
      <w:bookmarkStart w:id="21" w:name="_Hlk214547049"/>
      <w:r>
        <w:t>The growth in net international migration in 2021/22–2023/24 reflects changes seen at a regional and national level: since 2021, the UK has seen unprecedented levels of net international migration.</w:t>
      </w:r>
      <w:r>
        <w:rPr>
          <w:rStyle w:val="FootnoteReference"/>
        </w:rPr>
        <w:footnoteReference w:id="6"/>
      </w:r>
      <w:r w:rsidR="007B3C89">
        <w:t xml:space="preserve"> </w:t>
      </w:r>
      <w:bookmarkEnd w:id="21"/>
      <w:r w:rsidR="007B3C89">
        <w:t>G</w:t>
      </w:r>
      <w:r w:rsidR="009003AC">
        <w:t xml:space="preserve">rowth has been linked to migration through humanitarian routes (e.g. the Russia-Ukraine war), non-EU work-related migration in the health and social care sector and an increase in the number of </w:t>
      </w:r>
      <w:r w:rsidR="009003AC">
        <w:lastRenderedPageBreak/>
        <w:t>dependents arriving with non-EU workers on long-term work visas.</w:t>
      </w:r>
      <w:r w:rsidR="009003AC">
        <w:rPr>
          <w:rStyle w:val="FootnoteReference"/>
        </w:rPr>
        <w:footnoteReference w:id="7"/>
      </w:r>
      <w:r w:rsidR="009003AC">
        <w:t xml:space="preserve"> The ONS highlights that pent-up demand for study following the COVID-19 pandemic also impacted the net migration figures</w:t>
      </w:r>
      <w:r w:rsidR="006E2DE9">
        <w:t>.</w:t>
      </w:r>
    </w:p>
    <w:p w14:paraId="2CDCF0AA" w14:textId="53EC1181" w:rsidR="00653845" w:rsidRDefault="00653845" w:rsidP="00782A1E">
      <w:pPr>
        <w:pStyle w:val="ListParagraph"/>
      </w:pPr>
      <w:r w:rsidRPr="00F94A45">
        <w:t xml:space="preserve">Within the estimates for year ending December 2024, net international migration to the UK </w:t>
      </w:r>
      <w:r w:rsidR="009D14DB">
        <w:t>is</w:t>
      </w:r>
      <w:r w:rsidRPr="00F94A45">
        <w:t xml:space="preserve"> estimated to have nearly halved from its 2023 peak.</w:t>
      </w:r>
      <w:r w:rsidRPr="00F94A45">
        <w:rPr>
          <w:rStyle w:val="FootnoteReference"/>
        </w:rPr>
        <w:footnoteReference w:id="8"/>
      </w:r>
      <w:r w:rsidRPr="00F94A45">
        <w:t xml:space="preserve"> ONS stated that this is linked to a reduction in the number of people arriving on work and study visas, and an increase in the number of people leaving the UK who came here post-pandemic on study visas. Changes to the rules around international students bringing dependents in January 2024 are also likely to have had an impact. In November 2025, ONS further revised the December 2024 UK estimate downwards from 431,000</w:t>
      </w:r>
      <w:r>
        <w:t xml:space="preserve"> </w:t>
      </w:r>
      <w:r w:rsidRPr="00F94A45">
        <w:t>to 345,000. This adjustment has been made following changes to the methods used to estimate EU and British national migration.</w:t>
      </w:r>
      <w:r w:rsidRPr="00F94A45">
        <w:rPr>
          <w:rStyle w:val="FootnoteReference"/>
        </w:rPr>
        <w:footnoteReference w:id="9"/>
      </w:r>
      <w:r w:rsidRPr="00F94A45">
        <w:t xml:space="preserve"> </w:t>
      </w:r>
    </w:p>
    <w:p w14:paraId="05D70B62" w14:textId="77777777" w:rsidR="00112BB3" w:rsidRDefault="00112BB3" w:rsidP="00112BB3">
      <w:pPr>
        <w:pStyle w:val="Heading3"/>
      </w:pPr>
      <w:bookmarkStart w:id="22" w:name="_Toc220661314"/>
      <w:r>
        <w:t>Households</w:t>
      </w:r>
      <w:bookmarkEnd w:id="22"/>
    </w:p>
    <w:p w14:paraId="25DC67EC" w14:textId="56D1E166" w:rsidR="00112BB3" w:rsidRDefault="00112BB3" w:rsidP="00112BB3">
      <w:pPr>
        <w:pStyle w:val="ListParagraph"/>
      </w:pPr>
      <w:r>
        <w:t xml:space="preserve">The number of households under the 2022-based </w:t>
      </w:r>
      <w:r w:rsidRPr="00383B9E">
        <w:rPr>
          <w:i/>
          <w:iCs/>
        </w:rPr>
        <w:t>Principal</w:t>
      </w:r>
      <w:r>
        <w:t xml:space="preserve"> WG household projection is projected to increase by </w:t>
      </w:r>
      <w:r w:rsidRPr="00050F9B">
        <w:t>+12,770</w:t>
      </w:r>
      <w:r>
        <w:t xml:space="preserve"> (15.5%) between 2022 and 2047. </w:t>
      </w:r>
      <w:r w:rsidR="00597AF0">
        <w:t>With the highest level of population growth, t</w:t>
      </w:r>
      <w:r w:rsidR="00597AF0" w:rsidRPr="00934049">
        <w:t xml:space="preserve">he 2022-based </w:t>
      </w:r>
      <w:r w:rsidR="00597AF0" w:rsidRPr="00313AE3">
        <w:rPr>
          <w:i/>
          <w:iCs/>
        </w:rPr>
        <w:t>High Population</w:t>
      </w:r>
      <w:r w:rsidR="00597AF0" w:rsidRPr="00934049">
        <w:t xml:space="preserve"> household projection achieves a higher </w:t>
      </w:r>
      <w:r w:rsidR="00597AF0">
        <w:t xml:space="preserve">level of </w:t>
      </w:r>
      <w:r w:rsidR="00597AF0" w:rsidRPr="00934049">
        <w:t>household growth</w:t>
      </w:r>
      <w:r w:rsidR="00597AF0">
        <w:t>, at</w:t>
      </w:r>
      <w:r w:rsidR="00597AF0" w:rsidRPr="00934049">
        <w:t xml:space="preserve"> </w:t>
      </w:r>
      <w:r w:rsidR="00597AF0">
        <w:t>+</w:t>
      </w:r>
      <w:r w:rsidR="00597AF0" w:rsidRPr="00934049">
        <w:t>17.1%</w:t>
      </w:r>
      <w:r w:rsidR="00597AF0">
        <w:t xml:space="preserve">. Conversely, with a population decline under the </w:t>
      </w:r>
      <w:r w:rsidR="00597AF0" w:rsidRPr="00597AF0">
        <w:rPr>
          <w:i/>
          <w:iCs/>
        </w:rPr>
        <w:t>Zero migration</w:t>
      </w:r>
      <w:r w:rsidR="00597AF0">
        <w:t xml:space="preserve"> variant, a decline in the number of households is projected.</w:t>
      </w:r>
    </w:p>
    <w:p w14:paraId="138BA0DA" w14:textId="6183E4E5" w:rsidR="00112BB3" w:rsidRDefault="005129EC" w:rsidP="00112BB3">
      <w:pPr>
        <w:pStyle w:val="Figure"/>
        <w:keepNext/>
      </w:pPr>
      <w:r w:rsidRPr="005129EC">
        <w:rPr>
          <w:noProof/>
        </w:rPr>
        <w:drawing>
          <wp:inline distT="0" distB="0" distL="0" distR="0" wp14:anchorId="30569BDD" wp14:editId="521D287F">
            <wp:extent cx="5432079" cy="2886728"/>
            <wp:effectExtent l="0" t="0" r="0" b="0"/>
            <wp:docPr id="1941961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7241" cy="2894785"/>
                    </a:xfrm>
                    <a:prstGeom prst="rect">
                      <a:avLst/>
                    </a:prstGeom>
                    <a:noFill/>
                    <a:ln>
                      <a:noFill/>
                    </a:ln>
                  </pic:spPr>
                </pic:pic>
              </a:graphicData>
            </a:graphic>
          </wp:inline>
        </w:drawing>
      </w:r>
    </w:p>
    <w:p w14:paraId="6EA6960C" w14:textId="45FDCF34" w:rsidR="00112BB3" w:rsidRDefault="00112BB3" w:rsidP="00112BB3">
      <w:pPr>
        <w:pStyle w:val="Caption"/>
      </w:pPr>
      <w:r>
        <w:t xml:space="preserve">Figure </w:t>
      </w:r>
      <w:r w:rsidR="00CF2253">
        <w:fldChar w:fldCharType="begin"/>
      </w:r>
      <w:r w:rsidR="00CF2253">
        <w:instrText xml:space="preserve"> SEQ Figure \* ARABIC </w:instrText>
      </w:r>
      <w:r w:rsidR="00CF2253">
        <w:fldChar w:fldCharType="separate"/>
      </w:r>
      <w:r w:rsidR="00CF2253">
        <w:rPr>
          <w:noProof/>
        </w:rPr>
        <w:t>3</w:t>
      </w:r>
      <w:r w:rsidR="00CF2253">
        <w:rPr>
          <w:noProof/>
        </w:rPr>
        <w:fldChar w:fldCharType="end"/>
      </w:r>
      <w:r>
        <w:t>: Carmarthenshire Unitary Authority: WG household projections</w:t>
      </w:r>
    </w:p>
    <w:p w14:paraId="07D735CF" w14:textId="77777777" w:rsidR="00112BB3" w:rsidRDefault="00112BB3" w:rsidP="00112BB3">
      <w:pPr>
        <w:pStyle w:val="FigureNote"/>
        <w:spacing w:before="0"/>
      </w:pPr>
      <w:r>
        <w:t>Source: WG</w:t>
      </w:r>
    </w:p>
    <w:p w14:paraId="7099117A" w14:textId="77777777" w:rsidR="00597AF0" w:rsidRDefault="00597AF0">
      <w:pPr>
        <w:spacing w:before="0" w:after="160" w:line="259" w:lineRule="auto"/>
        <w:rPr>
          <w:rFonts w:asciiTheme="majorHAnsi" w:eastAsiaTheme="majorEastAsia" w:hAnsiTheme="majorHAnsi" w:cstheme="majorBidi"/>
          <w:color w:val="144166"/>
          <w:spacing w:val="10"/>
          <w:sz w:val="32"/>
          <w:szCs w:val="32"/>
        </w:rPr>
      </w:pPr>
      <w:r>
        <w:br w:type="page"/>
      </w:r>
    </w:p>
    <w:p w14:paraId="47182AEC" w14:textId="0F5CA7AB" w:rsidR="00782A1E" w:rsidRPr="00597AF0" w:rsidRDefault="00B278B7" w:rsidP="00597AF0">
      <w:pPr>
        <w:pStyle w:val="Heading2"/>
      </w:pPr>
      <w:bookmarkStart w:id="23" w:name="_Toc220661315"/>
      <w:r>
        <w:lastRenderedPageBreak/>
        <w:t xml:space="preserve">Comparison with </w:t>
      </w:r>
      <w:r w:rsidR="005E3BBF">
        <w:t>Previous Projections</w:t>
      </w:r>
      <w:bookmarkEnd w:id="23"/>
    </w:p>
    <w:p w14:paraId="68616F24" w14:textId="143DF459" w:rsidR="00597AF0" w:rsidRPr="00597AF0" w:rsidRDefault="00597AF0" w:rsidP="00597AF0">
      <w:pPr>
        <w:pStyle w:val="Heading3"/>
      </w:pPr>
      <w:bookmarkStart w:id="24" w:name="_Toc220661316"/>
      <w:r>
        <w:t>Population</w:t>
      </w:r>
      <w:bookmarkEnd w:id="24"/>
    </w:p>
    <w:p w14:paraId="0B71574E" w14:textId="5BEEA79F" w:rsidR="00782A1E" w:rsidRDefault="007E1418" w:rsidP="007E1418">
      <w:pPr>
        <w:pStyle w:val="ListParagraph"/>
      </w:pPr>
      <w:r>
        <w:t>Population g</w:t>
      </w:r>
      <w:r w:rsidR="00B278B7">
        <w:t>rowth</w:t>
      </w:r>
      <w:r w:rsidR="00782A1E">
        <w:t xml:space="preserve"> under the 2022-based </w:t>
      </w:r>
      <w:r w:rsidR="00782A1E" w:rsidRPr="00782A1E">
        <w:rPr>
          <w:i/>
          <w:iCs/>
        </w:rPr>
        <w:t>Principal</w:t>
      </w:r>
      <w:r w:rsidR="00782A1E">
        <w:t xml:space="preserve"> projection </w:t>
      </w:r>
      <w:r w:rsidR="00782A1E" w:rsidRPr="00782A1E">
        <w:rPr>
          <w:i/>
          <w:iCs/>
        </w:rPr>
        <w:t>exceeds</w:t>
      </w:r>
      <w:r w:rsidR="00782A1E">
        <w:t xml:space="preserve"> the growth projected under the </w:t>
      </w:r>
      <w:r>
        <w:t xml:space="preserve">previous </w:t>
      </w:r>
      <w:r w:rsidR="00782A1E">
        <w:t xml:space="preserve">2018-based and the 2014-based </w:t>
      </w:r>
      <w:r w:rsidR="005B55FC">
        <w:rPr>
          <w:i/>
          <w:iCs/>
        </w:rPr>
        <w:t>P</w:t>
      </w:r>
      <w:r w:rsidR="00782A1E" w:rsidRPr="00782A1E">
        <w:rPr>
          <w:i/>
          <w:iCs/>
        </w:rPr>
        <w:t>rincipal</w:t>
      </w:r>
      <w:r w:rsidR="00782A1E">
        <w:t xml:space="preserve"> projections, at 5.1% and 2.2% respectively (</w:t>
      </w:r>
      <w:r w:rsidR="00782A1E">
        <w:fldChar w:fldCharType="begin"/>
      </w:r>
      <w:r w:rsidR="00782A1E">
        <w:instrText xml:space="preserve"> REF _Ref220525988 \h </w:instrText>
      </w:r>
      <w:r w:rsidR="00782A1E">
        <w:fldChar w:fldCharType="separate"/>
      </w:r>
      <w:r w:rsidR="00CF2253">
        <w:t xml:space="preserve">Figure </w:t>
      </w:r>
      <w:r w:rsidR="00CF2253">
        <w:rPr>
          <w:noProof/>
        </w:rPr>
        <w:t>4</w:t>
      </w:r>
      <w:r w:rsidR="00782A1E">
        <w:fldChar w:fldCharType="end"/>
      </w:r>
      <w:r w:rsidR="00782A1E">
        <w:t xml:space="preserve">). </w:t>
      </w:r>
    </w:p>
    <w:p w14:paraId="162EF6B9" w14:textId="2D533491" w:rsidR="00782A1E" w:rsidRDefault="0012306A" w:rsidP="00FB54A1">
      <w:pPr>
        <w:pStyle w:val="Figure"/>
        <w:spacing w:before="240"/>
      </w:pPr>
      <w:r w:rsidRPr="0012306A">
        <w:rPr>
          <w:noProof/>
        </w:rPr>
        <w:drawing>
          <wp:inline distT="0" distB="0" distL="0" distR="0" wp14:anchorId="08D2092B" wp14:editId="6AB90789">
            <wp:extent cx="4714142" cy="2636874"/>
            <wp:effectExtent l="0" t="0" r="0" b="0"/>
            <wp:docPr id="15316142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9830" cy="2645649"/>
                    </a:xfrm>
                    <a:prstGeom prst="rect">
                      <a:avLst/>
                    </a:prstGeom>
                    <a:noFill/>
                    <a:ln>
                      <a:noFill/>
                    </a:ln>
                  </pic:spPr>
                </pic:pic>
              </a:graphicData>
            </a:graphic>
          </wp:inline>
        </w:drawing>
      </w:r>
    </w:p>
    <w:p w14:paraId="22BBD134" w14:textId="1E55815A" w:rsidR="00782A1E" w:rsidRDefault="00782A1E" w:rsidP="00782A1E">
      <w:pPr>
        <w:pStyle w:val="Caption"/>
      </w:pPr>
      <w:bookmarkStart w:id="25" w:name="_Ref220525988"/>
      <w:r>
        <w:t xml:space="preserve">Figure </w:t>
      </w:r>
      <w:r w:rsidR="00CF2253">
        <w:fldChar w:fldCharType="begin"/>
      </w:r>
      <w:r w:rsidR="00CF2253">
        <w:instrText xml:space="preserve"> SEQ Figure \* ARABIC </w:instrText>
      </w:r>
      <w:r w:rsidR="00CF2253">
        <w:fldChar w:fldCharType="separate"/>
      </w:r>
      <w:r w:rsidR="00CF2253">
        <w:rPr>
          <w:noProof/>
        </w:rPr>
        <w:t>4</w:t>
      </w:r>
      <w:r w:rsidR="00CF2253">
        <w:rPr>
          <w:noProof/>
        </w:rPr>
        <w:fldChar w:fldCharType="end"/>
      </w:r>
      <w:bookmarkEnd w:id="25"/>
      <w:r>
        <w:t>: Carmarthenshire UA: WG principal projection comparison</w:t>
      </w:r>
    </w:p>
    <w:p w14:paraId="1A5581FF" w14:textId="77777777" w:rsidR="00782A1E" w:rsidRDefault="00782A1E" w:rsidP="00782A1E">
      <w:pPr>
        <w:pStyle w:val="FigureNote"/>
        <w:spacing w:before="0"/>
      </w:pPr>
      <w:r>
        <w:t>Source: WG</w:t>
      </w:r>
    </w:p>
    <w:p w14:paraId="5D68DFC3" w14:textId="0CA37645" w:rsidR="00782A1E" w:rsidRDefault="00782A1E" w:rsidP="00782A1E">
      <w:pPr>
        <w:pStyle w:val="ListParagraph"/>
      </w:pPr>
      <w:r>
        <w:t>Welsh Government states that the differences between the 2022-based round of projections and the previous projections are the result of the following: the change in demographic trends seen in recent years</w:t>
      </w:r>
      <w:r w:rsidR="00B278B7">
        <w:t xml:space="preserve"> (see above regarding fertility and international migration)</w:t>
      </w:r>
      <w:r>
        <w:t>, changes in the methods used to generate the projections, and the rebasing of the historical mid-year population estimates.</w:t>
      </w:r>
      <w:r w:rsidR="00D1145E">
        <w:t xml:space="preserve"> As outlined above, the technical methodology not is not yet available from Welsh Government</w:t>
      </w:r>
      <w:r w:rsidR="00C163E3">
        <w:t>,</w:t>
      </w:r>
      <w:r w:rsidR="002B07FF">
        <w:t xml:space="preserve"> and it is</w:t>
      </w:r>
      <w:r w:rsidR="00C163E3">
        <w:t xml:space="preserve"> therefore not possible to provide commentary on any forecasting methodology changes that have been made in the 2022-based round of projections.</w:t>
      </w:r>
    </w:p>
    <w:p w14:paraId="2C674407" w14:textId="07C74CD3" w:rsidR="005276EA" w:rsidRDefault="002B07FF" w:rsidP="001B3E9E">
      <w:pPr>
        <w:pStyle w:val="ListParagraph"/>
        <w:spacing w:after="0"/>
      </w:pPr>
      <w:bookmarkStart w:id="26" w:name="_Ref220655259"/>
      <w:r>
        <w:t xml:space="preserve">Regarding the </w:t>
      </w:r>
      <w:r w:rsidR="00E62641">
        <w:t>rebasing of the MYE</w:t>
      </w:r>
      <w:r>
        <w:t>: this process</w:t>
      </w:r>
      <w:r w:rsidR="00C163E3">
        <w:t xml:space="preserve"> happens post-Census and is carried out by ONS to better align the Census population estimates</w:t>
      </w:r>
      <w:r w:rsidR="004C6A2E">
        <w:t>. A</w:t>
      </w:r>
      <w:r w:rsidR="00217C73">
        <w:t xml:space="preserve"> certain level of drift is expected between the MYE and the Census estimates</w:t>
      </w:r>
      <w:r w:rsidR="004C6A2E">
        <w:t>; f</w:t>
      </w:r>
      <w:r w:rsidR="00863BE0">
        <w:t>ollowing a</w:t>
      </w:r>
      <w:r w:rsidR="004C6A2E">
        <w:t xml:space="preserve"> </w:t>
      </w:r>
      <w:r w:rsidR="00863BE0">
        <w:t>Census, ONS revisits the intercensal MYE</w:t>
      </w:r>
      <w:r w:rsidR="00BE0E72">
        <w:t xml:space="preserve"> and applies adjustments</w:t>
      </w:r>
      <w:r w:rsidR="00104AAC">
        <w:t xml:space="preserve"> where appropriate</w:t>
      </w:r>
      <w:r w:rsidR="00BE0E72">
        <w:t>. Population change that cannot be attributed to any one component of change (births, deaths, migration) is referred to as unattributable population change (UPC).</w:t>
      </w:r>
      <w:r w:rsidR="005276EA" w:rsidRPr="005276EA">
        <w:t xml:space="preserve"> </w:t>
      </w:r>
      <w:r w:rsidR="005276EA">
        <w:t xml:space="preserve">The 2021 Census population estimate in Carmarthenshire was </w:t>
      </w:r>
      <w:r w:rsidR="005276EA" w:rsidRPr="009C1788">
        <w:rPr>
          <w:i/>
          <w:iCs/>
        </w:rPr>
        <w:t>lower</w:t>
      </w:r>
      <w:r w:rsidR="005276EA">
        <w:t xml:space="preserve"> than the pre-Census MYE, resulting in negative UPC between 2011/12–2020/21. In all Welsh authorities, apart from Newport, the MYE were adjusted downwards following the 2021 Census.</w:t>
      </w:r>
      <w:r w:rsidR="00680F7C">
        <w:rPr>
          <w:rStyle w:val="FootnoteReference"/>
        </w:rPr>
        <w:footnoteReference w:id="10"/>
      </w:r>
      <w:bookmarkEnd w:id="26"/>
    </w:p>
    <w:p w14:paraId="267E3B06" w14:textId="384CE0DF" w:rsidR="00BE0E72" w:rsidRDefault="00623B75" w:rsidP="002F4257">
      <w:pPr>
        <w:pStyle w:val="ListParagraph"/>
      </w:pPr>
      <w:r>
        <w:lastRenderedPageBreak/>
        <w:t xml:space="preserve">It is these rebased MYE that have informed the development of the 2022-based official projections. The previous 2014-based and 2018-based were configured using older and now outdated MYE evidence. </w:t>
      </w:r>
      <w:r w:rsidR="002F4257">
        <w:t xml:space="preserve">Note that the </w:t>
      </w:r>
      <w:r w:rsidR="005D507F" w:rsidRPr="005D507F">
        <w:rPr>
          <w:rFonts w:ascii="Aptos" w:hAnsi="Aptos"/>
          <w:i/>
          <w:iCs/>
        </w:rPr>
        <w:t>PG-10Y (2019)</w:t>
      </w:r>
      <w:r w:rsidR="002F4257">
        <w:t xml:space="preserve"> scenario produced by Edge Analytics was also configured using this older MYE evidence. Commentary on this is provided in the next section.</w:t>
      </w:r>
    </w:p>
    <w:p w14:paraId="175D1E70" w14:textId="77777777" w:rsidR="00597AF0" w:rsidRDefault="00597AF0" w:rsidP="00597AF0">
      <w:pPr>
        <w:pStyle w:val="Heading3"/>
      </w:pPr>
      <w:bookmarkStart w:id="27" w:name="_Toc220661317"/>
      <w:r>
        <w:t>Households</w:t>
      </w:r>
      <w:bookmarkEnd w:id="27"/>
    </w:p>
    <w:p w14:paraId="3EA1AFCC" w14:textId="72F51647" w:rsidR="00597AF0" w:rsidRDefault="00597AF0" w:rsidP="00597AF0">
      <w:pPr>
        <w:pStyle w:val="ListParagraph"/>
      </w:pPr>
      <w:r>
        <w:t xml:space="preserve">The 2022-based </w:t>
      </w:r>
      <w:r w:rsidRPr="00597AF0">
        <w:rPr>
          <w:i/>
          <w:iCs/>
        </w:rPr>
        <w:t>Principal</w:t>
      </w:r>
      <w:r>
        <w:t xml:space="preserve"> household projection projects a higher level of growth (15.5%) than the 2018-based or 2014-based WG </w:t>
      </w:r>
      <w:r>
        <w:rPr>
          <w:i/>
          <w:iCs/>
        </w:rPr>
        <w:t xml:space="preserve">Principal </w:t>
      </w:r>
      <w:r>
        <w:t>household projections (7.7% and 5.8%, respectively) (</w:t>
      </w:r>
      <w:r>
        <w:fldChar w:fldCharType="begin"/>
      </w:r>
      <w:r>
        <w:instrText xml:space="preserve"> REF _Ref220600365 \h </w:instrText>
      </w:r>
      <w:r>
        <w:fldChar w:fldCharType="separate"/>
      </w:r>
      <w:r w:rsidR="00CF2253">
        <w:t xml:space="preserve">Figure </w:t>
      </w:r>
      <w:r w:rsidR="00CF2253">
        <w:rPr>
          <w:noProof/>
        </w:rPr>
        <w:t>5</w:t>
      </w:r>
      <w:r>
        <w:fldChar w:fldCharType="end"/>
      </w:r>
      <w:r>
        <w:t>).</w:t>
      </w:r>
    </w:p>
    <w:p w14:paraId="5BE1EBEA" w14:textId="58F59C51" w:rsidR="00597AF0" w:rsidRDefault="00597AF0" w:rsidP="00597AF0">
      <w:pPr>
        <w:pStyle w:val="ListParagraph"/>
      </w:pPr>
      <w:r>
        <w:t>A key reason for the different trajectories of household growth is the underpinning population growth trajectories (as presented above), as well as changes to the household projection methodology. The 2022-based household projection membership rates (which determine household composition) have been updated by Welsh Government using data from the 2021 Census. Historical trends between 2001, 2011, and 2021 have been used in the calibration of the membership rates, as opposed to just the 2001 and 2011 Censuses in the previous 2018 projections. As of January 2026, the membership rate detail and projection methodology have not been published by Welsh Government.</w:t>
      </w:r>
    </w:p>
    <w:p w14:paraId="6C5C86F5" w14:textId="77777777" w:rsidR="001C74F9" w:rsidRDefault="001C74F9" w:rsidP="001C74F9">
      <w:pPr>
        <w:pStyle w:val="Figure"/>
        <w:keepNext/>
      </w:pPr>
      <w:r w:rsidRPr="001C74F9">
        <w:rPr>
          <w:noProof/>
        </w:rPr>
        <w:drawing>
          <wp:inline distT="0" distB="0" distL="0" distR="0" wp14:anchorId="71B3848B" wp14:editId="2EE8F705">
            <wp:extent cx="5043391" cy="2651760"/>
            <wp:effectExtent l="0" t="0" r="0" b="0"/>
            <wp:docPr id="179577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6959" cy="2653636"/>
                    </a:xfrm>
                    <a:prstGeom prst="rect">
                      <a:avLst/>
                    </a:prstGeom>
                    <a:noFill/>
                    <a:ln>
                      <a:noFill/>
                    </a:ln>
                  </pic:spPr>
                </pic:pic>
              </a:graphicData>
            </a:graphic>
          </wp:inline>
        </w:drawing>
      </w:r>
    </w:p>
    <w:p w14:paraId="7FAFBD3E" w14:textId="39AE523A" w:rsidR="001C74F9" w:rsidRDefault="001C74F9" w:rsidP="001C74F9">
      <w:pPr>
        <w:pStyle w:val="Caption"/>
      </w:pPr>
      <w:bookmarkStart w:id="28" w:name="_Ref220600365"/>
      <w:r>
        <w:t xml:space="preserve">Figure </w:t>
      </w:r>
      <w:r w:rsidR="00CF2253">
        <w:fldChar w:fldCharType="begin"/>
      </w:r>
      <w:r w:rsidR="00CF2253">
        <w:instrText xml:space="preserve"> SEQ Figure \* ARABIC </w:instrText>
      </w:r>
      <w:r w:rsidR="00CF2253">
        <w:fldChar w:fldCharType="separate"/>
      </w:r>
      <w:r w:rsidR="00CF2253">
        <w:rPr>
          <w:noProof/>
        </w:rPr>
        <w:t>5</w:t>
      </w:r>
      <w:r w:rsidR="00CF2253">
        <w:rPr>
          <w:noProof/>
        </w:rPr>
        <w:fldChar w:fldCharType="end"/>
      </w:r>
      <w:bookmarkEnd w:id="28"/>
      <w:r>
        <w:t>: Carmarthenshire UA: WG principal household comparison</w:t>
      </w:r>
    </w:p>
    <w:p w14:paraId="214F8B90" w14:textId="68E137F6" w:rsidR="001C74F9" w:rsidRPr="001C74F9" w:rsidRDefault="001C74F9" w:rsidP="001C74F9">
      <w:pPr>
        <w:pStyle w:val="FigureNote"/>
        <w:spacing w:before="0"/>
      </w:pPr>
      <w:r>
        <w:t>Source: WG</w:t>
      </w:r>
    </w:p>
    <w:p w14:paraId="013E7331" w14:textId="47766DE1" w:rsidR="00382C63" w:rsidRPr="001C74F9" w:rsidRDefault="00382C63" w:rsidP="00D044EE">
      <w:pPr>
        <w:pStyle w:val="ListParagraph"/>
        <w:rPr>
          <w:rFonts w:asciiTheme="majorHAnsi" w:eastAsiaTheme="majorEastAsia" w:hAnsiTheme="majorHAnsi" w:cstheme="majorBidi"/>
          <w:color w:val="144166"/>
          <w:spacing w:val="10"/>
          <w:sz w:val="32"/>
          <w:szCs w:val="32"/>
        </w:rPr>
      </w:pPr>
      <w:r w:rsidRPr="001C74F9">
        <w:br w:type="page"/>
      </w:r>
    </w:p>
    <w:p w14:paraId="7D62C148" w14:textId="1CFDCB5E" w:rsidR="00316E78" w:rsidRPr="00B424F9" w:rsidRDefault="00313AE3" w:rsidP="00D044EE">
      <w:pPr>
        <w:pStyle w:val="Heading1"/>
      </w:pPr>
      <w:bookmarkStart w:id="29" w:name="_Ref220654719"/>
      <w:bookmarkStart w:id="30" w:name="_Toc220661318"/>
      <w:r>
        <w:lastRenderedPageBreak/>
        <w:t>Preferred Demographic Scenario</w:t>
      </w:r>
      <w:bookmarkEnd w:id="29"/>
      <w:bookmarkEnd w:id="30"/>
    </w:p>
    <w:p w14:paraId="391732C1" w14:textId="0BC4AFFE" w:rsidR="00722038" w:rsidRDefault="00D013FE" w:rsidP="00F12F73">
      <w:pPr>
        <w:pStyle w:val="ListParagraph"/>
      </w:pPr>
      <w:r>
        <w:t xml:space="preserve">The Revised LDP for the Carmarthenshire Planning Authority identifies a preferred </w:t>
      </w:r>
      <w:r w:rsidRPr="00722038">
        <w:t>demographic</w:t>
      </w:r>
      <w:r>
        <w:t xml:space="preserve"> scenario, </w:t>
      </w:r>
      <w:r>
        <w:rPr>
          <w:i/>
          <w:iCs/>
        </w:rPr>
        <w:t>PG-10Y (2019)</w:t>
      </w:r>
      <w:r>
        <w:t>, with a growth of +589 dwellings per year for the 2018–2033 plan period</w:t>
      </w:r>
      <w:r w:rsidR="00585E1E">
        <w:t>.</w:t>
      </w:r>
      <w:r>
        <w:t xml:space="preserve"> </w:t>
      </w:r>
      <w:r w:rsidR="00812AC1">
        <w:t>This</w:t>
      </w:r>
      <w:r>
        <w:t xml:space="preserve"> scenario has a 2017 (pre-Census) MYE base </w:t>
      </w:r>
      <w:r w:rsidR="00B9303E">
        <w:t>year,</w:t>
      </w:r>
      <w:r>
        <w:t xml:space="preserve"> and migration assumptions drawn from a ten-year history, excluding </w:t>
      </w:r>
      <w:r w:rsidRPr="00D013FE">
        <w:t>anomalous years around the aftermath of the financial crash.</w:t>
      </w:r>
    </w:p>
    <w:p w14:paraId="14633FFB" w14:textId="5D2C05DC" w:rsidR="00D013FE" w:rsidRDefault="00D013FE" w:rsidP="00F12F73">
      <w:pPr>
        <w:pStyle w:val="ListParagraph"/>
      </w:pPr>
      <w:r w:rsidRPr="00D013FE">
        <w:t xml:space="preserve">Note that this scenario is for the </w:t>
      </w:r>
      <w:r w:rsidR="007B0A3C">
        <w:t xml:space="preserve">Carmarthenshire </w:t>
      </w:r>
      <w:r w:rsidRPr="00D013FE">
        <w:t xml:space="preserve">LPA only; to compare this to the latest 2022-based WG projections, it has been necessary to apportion the official UA-level projection to the LPA (i.e. excluding the BBNP part of Carmarthenshire). </w:t>
      </w:r>
      <w:r w:rsidR="005D099D">
        <w:t xml:space="preserve">This has been </w:t>
      </w:r>
      <w:r w:rsidR="00624E7E">
        <w:t>done</w:t>
      </w:r>
      <w:r w:rsidR="005D099D">
        <w:t xml:space="preserve"> by es</w:t>
      </w:r>
      <w:r w:rsidR="005A0FEA">
        <w:t xml:space="preserve">timating the proportion of residential addresses </w:t>
      </w:r>
      <w:r w:rsidR="00C47511">
        <w:t>both inside and</w:t>
      </w:r>
      <w:r w:rsidR="005A0FEA">
        <w:t xml:space="preserve"> outside the national park</w:t>
      </w:r>
      <w:r w:rsidR="00F12F73">
        <w:t xml:space="preserve"> (using </w:t>
      </w:r>
      <w:r w:rsidRPr="00D013FE">
        <w:t>2021 Census Output Area</w:t>
      </w:r>
      <w:r w:rsidR="00F12F73">
        <w:t xml:space="preserve">s and the </w:t>
      </w:r>
      <w:r w:rsidRPr="00D013FE">
        <w:t>Ordnance Survey AddressBase Plus database</w:t>
      </w:r>
      <w:r w:rsidR="00F12F73">
        <w:t>)</w:t>
      </w:r>
      <w:r w:rsidRPr="00D013FE">
        <w:t xml:space="preserve">. Of the total address count for </w:t>
      </w:r>
      <w:r w:rsidR="00844EE5">
        <w:t>the</w:t>
      </w:r>
      <w:r w:rsidR="00844EE5" w:rsidRPr="00D013FE">
        <w:t xml:space="preserve"> </w:t>
      </w:r>
      <w:r w:rsidR="00F12F73">
        <w:t>UA</w:t>
      </w:r>
      <w:r w:rsidRPr="00D013FE">
        <w:t xml:space="preserve">, </w:t>
      </w:r>
      <w:r w:rsidR="00C47511">
        <w:t xml:space="preserve">just over </w:t>
      </w:r>
      <w:r w:rsidRPr="00D013FE">
        <w:t xml:space="preserve">99% were located outside of </w:t>
      </w:r>
      <w:r w:rsidR="00C47511">
        <w:t>BBNP</w:t>
      </w:r>
      <w:r w:rsidR="008F6DB2">
        <w:t>; this proportion has been applied in all years of the 2022-based projection to apportion growth to the LPA.</w:t>
      </w:r>
      <w:r w:rsidR="00624E7E">
        <w:t xml:space="preserve"> Although only a minor adjustment, this enables comparison between the two projections.</w:t>
      </w:r>
    </w:p>
    <w:p w14:paraId="3E9A4CD6" w14:textId="2A52FAC7" w:rsidR="00D013FE" w:rsidRDefault="00624E7E" w:rsidP="00D013FE">
      <w:pPr>
        <w:pStyle w:val="ListParagraph"/>
      </w:pPr>
      <w:r>
        <w:t>As the 2022-based projections have a 2022</w:t>
      </w:r>
      <w:r w:rsidR="00DF03A0">
        <w:t xml:space="preserve"> </w:t>
      </w:r>
      <w:r>
        <w:t xml:space="preserve">base year, </w:t>
      </w:r>
      <w:r w:rsidR="00EE2087">
        <w:t xml:space="preserve">the historical </w:t>
      </w:r>
      <w:r w:rsidR="00D013FE">
        <w:t xml:space="preserve">population </w:t>
      </w:r>
      <w:r w:rsidR="003E2612">
        <w:t xml:space="preserve">(ONS) </w:t>
      </w:r>
      <w:r w:rsidR="00D013FE">
        <w:t xml:space="preserve">and household </w:t>
      </w:r>
      <w:r w:rsidR="003E2612">
        <w:t xml:space="preserve">(WG) </w:t>
      </w:r>
      <w:r w:rsidR="005504D7">
        <w:t>estimates for</w:t>
      </w:r>
      <w:r w:rsidR="00EE2087">
        <w:t xml:space="preserve"> 2018 to 2021 have been included </w:t>
      </w:r>
      <w:r w:rsidR="00DF03A0">
        <w:t xml:space="preserve">to </w:t>
      </w:r>
      <w:r w:rsidR="00B71CB4">
        <w:t>present growth from 2018</w:t>
      </w:r>
      <w:r w:rsidR="00D013FE" w:rsidRPr="007016A9">
        <w:t>.</w:t>
      </w:r>
      <w:r w:rsidR="00D1124E">
        <w:t xml:space="preserve"> </w:t>
      </w:r>
    </w:p>
    <w:p w14:paraId="4082809D" w14:textId="4814DCD7" w:rsidR="00D013FE" w:rsidRDefault="00D013FE" w:rsidP="00D013FE">
      <w:pPr>
        <w:pStyle w:val="ListParagraph"/>
      </w:pPr>
      <w:r>
        <w:t xml:space="preserve">The population growth trajectories for the </w:t>
      </w:r>
      <w:r w:rsidRPr="00BB0E5F">
        <w:rPr>
          <w:i/>
          <w:iCs/>
        </w:rPr>
        <w:t>PG-10Y (2019)</w:t>
      </w:r>
      <w:r>
        <w:t xml:space="preserve"> scenario and the apportioned 2022-based WG projections are compared</w:t>
      </w:r>
      <w:r w:rsidR="00BF414A">
        <w:t xml:space="preserve"> below</w:t>
      </w:r>
      <w:r>
        <w:t xml:space="preserve"> in </w:t>
      </w:r>
      <w:r>
        <w:fldChar w:fldCharType="begin"/>
      </w:r>
      <w:r>
        <w:instrText xml:space="preserve"> REF _Ref219902710 \h </w:instrText>
      </w:r>
      <w:r>
        <w:fldChar w:fldCharType="separate"/>
      </w:r>
      <w:r w:rsidR="00CF2253">
        <w:t xml:space="preserve">Figure </w:t>
      </w:r>
      <w:r w:rsidR="00CF2253">
        <w:rPr>
          <w:noProof/>
        </w:rPr>
        <w:t>6</w:t>
      </w:r>
      <w:r>
        <w:fldChar w:fldCharType="end"/>
      </w:r>
      <w:r>
        <w:t xml:space="preserve">, with the latest MYE evidence included for context. </w:t>
      </w:r>
      <w:r w:rsidR="00D1124E">
        <w:fldChar w:fldCharType="begin"/>
      </w:r>
      <w:r w:rsidR="00D1124E">
        <w:instrText xml:space="preserve"> REF _Ref219902696 \h </w:instrText>
      </w:r>
      <w:r w:rsidR="00D1124E">
        <w:fldChar w:fldCharType="separate"/>
      </w:r>
      <w:r w:rsidR="00CF2253">
        <w:t xml:space="preserve">Table </w:t>
      </w:r>
      <w:r w:rsidR="00CF2253">
        <w:rPr>
          <w:noProof/>
        </w:rPr>
        <w:t>3</w:t>
      </w:r>
      <w:r w:rsidR="00D1124E">
        <w:fldChar w:fldCharType="end"/>
      </w:r>
      <w:r w:rsidR="000E669A">
        <w:t xml:space="preserve"> (next page)</w:t>
      </w:r>
      <w:r w:rsidR="00D1124E">
        <w:t xml:space="preserve"> </w:t>
      </w:r>
      <w:r w:rsidR="005E50FF">
        <w:t xml:space="preserve">compares the </w:t>
      </w:r>
      <w:r w:rsidR="00D123D1">
        <w:t>population, household and net migration estimates</w:t>
      </w:r>
      <w:r w:rsidR="00931913">
        <w:t xml:space="preserve"> for the</w:t>
      </w:r>
      <w:r w:rsidR="00DE43FB">
        <w:t xml:space="preserve"> two</w:t>
      </w:r>
      <w:r w:rsidR="00931913">
        <w:t xml:space="preserve"> scenarios.</w:t>
      </w:r>
    </w:p>
    <w:p w14:paraId="5C008A07" w14:textId="5ACE42E3" w:rsidR="00D013FE" w:rsidRDefault="00921124" w:rsidP="00D013FE">
      <w:pPr>
        <w:pStyle w:val="Figure"/>
        <w:keepNext/>
        <w:spacing w:before="120"/>
      </w:pPr>
      <w:r w:rsidRPr="00921124">
        <w:rPr>
          <w:noProof/>
        </w:rPr>
        <w:drawing>
          <wp:inline distT="0" distB="0" distL="0" distR="0" wp14:anchorId="3EACCD1F" wp14:editId="6FFFB26B">
            <wp:extent cx="4746929" cy="2701355"/>
            <wp:effectExtent l="0" t="0" r="0" b="3810"/>
            <wp:docPr id="1417355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5714" cy="2706354"/>
                    </a:xfrm>
                    <a:prstGeom prst="rect">
                      <a:avLst/>
                    </a:prstGeom>
                    <a:noFill/>
                    <a:ln>
                      <a:noFill/>
                    </a:ln>
                  </pic:spPr>
                </pic:pic>
              </a:graphicData>
            </a:graphic>
          </wp:inline>
        </w:drawing>
      </w:r>
    </w:p>
    <w:p w14:paraId="1BBC26A8" w14:textId="22A62D08" w:rsidR="00D013FE" w:rsidRDefault="00D013FE" w:rsidP="00D013FE">
      <w:pPr>
        <w:pStyle w:val="Caption"/>
      </w:pPr>
      <w:bookmarkStart w:id="31" w:name="_Ref219902710"/>
      <w:r>
        <w:t xml:space="preserve">Figure </w:t>
      </w:r>
      <w:r w:rsidR="00CF2253">
        <w:fldChar w:fldCharType="begin"/>
      </w:r>
      <w:r w:rsidR="00CF2253">
        <w:instrText xml:space="preserve"> SEQ Figure \* ARABIC </w:instrText>
      </w:r>
      <w:r w:rsidR="00CF2253">
        <w:fldChar w:fldCharType="separate"/>
      </w:r>
      <w:r w:rsidR="00CF2253">
        <w:rPr>
          <w:noProof/>
        </w:rPr>
        <w:t>6</w:t>
      </w:r>
      <w:r w:rsidR="00CF2253">
        <w:rPr>
          <w:noProof/>
        </w:rPr>
        <w:fldChar w:fldCharType="end"/>
      </w:r>
      <w:bookmarkEnd w:id="31"/>
      <w:r>
        <w:t xml:space="preserve">: </w:t>
      </w:r>
      <w:r w:rsidRPr="00F03F60">
        <w:t xml:space="preserve">Preferred demographic scenario and WG 2022-based </w:t>
      </w:r>
      <w:r w:rsidR="00C82190">
        <w:rPr>
          <w:i/>
          <w:iCs/>
        </w:rPr>
        <w:t xml:space="preserve">Principal </w:t>
      </w:r>
      <w:r w:rsidRPr="00F03F60">
        <w:t>projection</w:t>
      </w:r>
    </w:p>
    <w:p w14:paraId="1C23B507" w14:textId="29212395" w:rsidR="00D013FE" w:rsidRDefault="00D013FE" w:rsidP="000E669A">
      <w:pPr>
        <w:pStyle w:val="FigureNote"/>
        <w:spacing w:before="0"/>
      </w:pPr>
      <w:r>
        <w:t>Source: ONS, WG, Edge Analytics</w:t>
      </w:r>
    </w:p>
    <w:p w14:paraId="33A36E1A" w14:textId="6FBC44AE" w:rsidR="000E669A" w:rsidRDefault="000E669A" w:rsidP="000E669A">
      <w:pPr>
        <w:pStyle w:val="ListParagraph"/>
      </w:pPr>
      <w:r w:rsidRPr="00BA2A1F">
        <w:rPr>
          <w:b/>
          <w:bCs/>
        </w:rPr>
        <w:t xml:space="preserve">Despite the </w:t>
      </w:r>
      <w:r w:rsidRPr="005D507F">
        <w:rPr>
          <w:rFonts w:ascii="Aptos" w:hAnsi="Aptos"/>
          <w:b/>
          <w:bCs/>
          <w:i/>
          <w:iCs/>
        </w:rPr>
        <w:t>PG-10Y (2019)</w:t>
      </w:r>
      <w:r w:rsidRPr="00BA2A1F">
        <w:rPr>
          <w:b/>
          <w:bCs/>
        </w:rPr>
        <w:t xml:space="preserve"> scenario resulting in an overall larger population in each year of the projection (reflective of the </w:t>
      </w:r>
      <w:r>
        <w:rPr>
          <w:b/>
          <w:bCs/>
        </w:rPr>
        <w:t>larger</w:t>
      </w:r>
      <w:r w:rsidRPr="00BA2A1F">
        <w:rPr>
          <w:b/>
          <w:bCs/>
        </w:rPr>
        <w:t xml:space="preserve"> MYE base year</w:t>
      </w:r>
      <w:r>
        <w:rPr>
          <w:b/>
          <w:bCs/>
        </w:rPr>
        <w:t xml:space="preserve"> population</w:t>
      </w:r>
      <w:r w:rsidRPr="00BA2A1F">
        <w:rPr>
          <w:b/>
          <w:bCs/>
        </w:rPr>
        <w:t xml:space="preserve"> at the time), the growth rate over the 2018–2033 plan period is broadly aligned with that of the 2022-based Principal projection. </w:t>
      </w:r>
      <w:r w:rsidRPr="00B71CB4">
        <w:t xml:space="preserve">The </w:t>
      </w:r>
      <w:r w:rsidRPr="005D507F">
        <w:rPr>
          <w:rFonts w:ascii="Aptos" w:hAnsi="Aptos"/>
          <w:i/>
          <w:iCs/>
        </w:rPr>
        <w:t>PG-10Y (2019)</w:t>
      </w:r>
      <w:r w:rsidRPr="00BA2A1F">
        <w:rPr>
          <w:i/>
          <w:iCs/>
        </w:rPr>
        <w:t xml:space="preserve"> </w:t>
      </w:r>
      <w:r w:rsidR="000B5302">
        <w:t>scenario r</w:t>
      </w:r>
      <w:r w:rsidRPr="00B71CB4">
        <w:t>esulted in population growth of 8.</w:t>
      </w:r>
      <w:r>
        <w:t>1</w:t>
      </w:r>
      <w:r w:rsidRPr="00B71CB4">
        <w:t>%, compared to 8.</w:t>
      </w:r>
      <w:r>
        <w:t>5</w:t>
      </w:r>
      <w:r w:rsidRPr="00B71CB4">
        <w:t xml:space="preserve">% under the 2022-based </w:t>
      </w:r>
      <w:r w:rsidRPr="00BA2A1F">
        <w:rPr>
          <w:i/>
          <w:iCs/>
        </w:rPr>
        <w:t>Principal</w:t>
      </w:r>
      <w:r w:rsidRPr="00B71CB4">
        <w:t xml:space="preserve"> projection (apportioned and extended</w:t>
      </w:r>
      <w:r>
        <w:t xml:space="preserve"> back to 2018</w:t>
      </w:r>
      <w:r w:rsidRPr="00B71CB4">
        <w:t xml:space="preserve"> by Edge Analytics).</w:t>
      </w:r>
    </w:p>
    <w:p w14:paraId="20E497A6" w14:textId="77DA3118" w:rsidR="00D013FE" w:rsidRDefault="00D013FE" w:rsidP="00D013FE">
      <w:pPr>
        <w:pStyle w:val="TableCaption"/>
      </w:pPr>
      <w:bookmarkStart w:id="32" w:name="_Ref219902696"/>
      <w:r>
        <w:lastRenderedPageBreak/>
        <w:t xml:space="preserve">Table </w:t>
      </w:r>
      <w:r w:rsidR="00CF2253">
        <w:fldChar w:fldCharType="begin"/>
      </w:r>
      <w:r w:rsidR="00CF2253">
        <w:instrText xml:space="preserve"> SEQ Table \* ARABIC </w:instrText>
      </w:r>
      <w:r w:rsidR="00CF2253">
        <w:fldChar w:fldCharType="separate"/>
      </w:r>
      <w:r w:rsidR="00CF2253">
        <w:rPr>
          <w:noProof/>
        </w:rPr>
        <w:t>3</w:t>
      </w:r>
      <w:r w:rsidR="00CF2253">
        <w:rPr>
          <w:noProof/>
        </w:rPr>
        <w:fldChar w:fldCharType="end"/>
      </w:r>
      <w:bookmarkEnd w:id="32"/>
      <w:r>
        <w:t>: Preferred demographic scenario and WG 2022-based</w:t>
      </w:r>
      <w:r w:rsidR="002B5CDF">
        <w:t xml:space="preserve"> </w:t>
      </w:r>
      <w:r w:rsidR="002B5CDF">
        <w:rPr>
          <w:i/>
          <w:iCs/>
        </w:rPr>
        <w:t>Principal</w:t>
      </w:r>
      <w:r>
        <w:t xml:space="preserve"> projection</w:t>
      </w:r>
    </w:p>
    <w:tbl>
      <w:tblPr>
        <w:tblStyle w:val="TableGrid"/>
        <w:tblW w:w="901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154"/>
        <w:gridCol w:w="1148"/>
        <w:gridCol w:w="1148"/>
        <w:gridCol w:w="1165"/>
        <w:gridCol w:w="1165"/>
        <w:gridCol w:w="1116"/>
        <w:gridCol w:w="1121"/>
      </w:tblGrid>
      <w:tr w:rsidR="00D013FE" w14:paraId="6CF66A6B" w14:textId="77777777" w:rsidTr="00474A0D">
        <w:trPr>
          <w:trHeight w:val="454"/>
        </w:trPr>
        <w:tc>
          <w:tcPr>
            <w:tcW w:w="2154" w:type="dxa"/>
            <w:vMerge w:val="restart"/>
            <w:vAlign w:val="center"/>
          </w:tcPr>
          <w:p w14:paraId="7C9A876E" w14:textId="77777777" w:rsidR="00D013FE" w:rsidRDefault="00D013FE" w:rsidP="00EF0E27">
            <w:pPr>
              <w:spacing w:before="0" w:line="240" w:lineRule="auto"/>
              <w:jc w:val="center"/>
              <w:rPr>
                <w:sz w:val="19"/>
                <w:szCs w:val="19"/>
              </w:rPr>
            </w:pPr>
            <w:r w:rsidRPr="00602082">
              <w:rPr>
                <w:sz w:val="19"/>
                <w:szCs w:val="19"/>
              </w:rPr>
              <w:t>Scenario</w:t>
            </w:r>
            <w:r>
              <w:rPr>
                <w:sz w:val="19"/>
                <w:szCs w:val="19"/>
              </w:rPr>
              <w:t xml:space="preserve"> or</w:t>
            </w:r>
          </w:p>
          <w:p w14:paraId="4F4A75C7" w14:textId="77777777" w:rsidR="00D013FE" w:rsidRPr="00602082" w:rsidRDefault="00D013FE" w:rsidP="00EF0E27">
            <w:pPr>
              <w:spacing w:before="0" w:line="240" w:lineRule="auto"/>
              <w:jc w:val="center"/>
              <w:rPr>
                <w:sz w:val="19"/>
                <w:szCs w:val="19"/>
              </w:rPr>
            </w:pPr>
            <w:r>
              <w:rPr>
                <w:sz w:val="19"/>
                <w:szCs w:val="19"/>
              </w:rPr>
              <w:t>WG Projection</w:t>
            </w:r>
          </w:p>
        </w:tc>
        <w:tc>
          <w:tcPr>
            <w:tcW w:w="4626" w:type="dxa"/>
            <w:gridSpan w:val="4"/>
            <w:vAlign w:val="center"/>
          </w:tcPr>
          <w:p w14:paraId="76954601" w14:textId="77777777" w:rsidR="00D013FE" w:rsidRPr="00602082" w:rsidRDefault="00D013FE" w:rsidP="00EF0E27">
            <w:pPr>
              <w:spacing w:before="0" w:line="240" w:lineRule="auto"/>
              <w:jc w:val="center"/>
              <w:rPr>
                <w:sz w:val="19"/>
                <w:szCs w:val="19"/>
              </w:rPr>
            </w:pPr>
            <w:r w:rsidRPr="00602082">
              <w:rPr>
                <w:sz w:val="19"/>
                <w:szCs w:val="19"/>
              </w:rPr>
              <w:t>Change 2018–2033</w:t>
            </w:r>
          </w:p>
        </w:tc>
        <w:tc>
          <w:tcPr>
            <w:tcW w:w="2237" w:type="dxa"/>
            <w:gridSpan w:val="2"/>
            <w:vAlign w:val="center"/>
          </w:tcPr>
          <w:p w14:paraId="57AB9816" w14:textId="77777777" w:rsidR="00D013FE" w:rsidRPr="00602082" w:rsidRDefault="00D013FE" w:rsidP="00EF0E27">
            <w:pPr>
              <w:spacing w:before="0" w:line="240" w:lineRule="auto"/>
              <w:jc w:val="center"/>
              <w:rPr>
                <w:sz w:val="19"/>
                <w:szCs w:val="19"/>
              </w:rPr>
            </w:pPr>
            <w:r w:rsidRPr="00602082">
              <w:rPr>
                <w:sz w:val="19"/>
                <w:szCs w:val="19"/>
              </w:rPr>
              <w:t>Average per year</w:t>
            </w:r>
          </w:p>
        </w:tc>
      </w:tr>
      <w:tr w:rsidR="00D013FE" w14:paraId="34A11DEE" w14:textId="77777777" w:rsidTr="00474A0D">
        <w:trPr>
          <w:trHeight w:val="680"/>
        </w:trPr>
        <w:tc>
          <w:tcPr>
            <w:tcW w:w="2154" w:type="dxa"/>
            <w:vMerge/>
            <w:vAlign w:val="center"/>
          </w:tcPr>
          <w:p w14:paraId="445D7053" w14:textId="77777777" w:rsidR="00D013FE" w:rsidRPr="00602082" w:rsidRDefault="00D013FE" w:rsidP="00EF0E27">
            <w:pPr>
              <w:spacing w:before="0" w:line="240" w:lineRule="auto"/>
              <w:jc w:val="center"/>
              <w:rPr>
                <w:sz w:val="19"/>
                <w:szCs w:val="19"/>
              </w:rPr>
            </w:pPr>
          </w:p>
        </w:tc>
        <w:tc>
          <w:tcPr>
            <w:tcW w:w="1148" w:type="dxa"/>
            <w:vAlign w:val="center"/>
          </w:tcPr>
          <w:p w14:paraId="4FAAF7E5" w14:textId="77777777" w:rsidR="00D013FE" w:rsidRPr="00602082" w:rsidRDefault="00D013FE" w:rsidP="00EF0E27">
            <w:pPr>
              <w:spacing w:before="0" w:line="240" w:lineRule="auto"/>
              <w:jc w:val="center"/>
              <w:rPr>
                <w:sz w:val="19"/>
                <w:szCs w:val="19"/>
              </w:rPr>
            </w:pPr>
            <w:r w:rsidRPr="00602082">
              <w:rPr>
                <w:sz w:val="19"/>
                <w:szCs w:val="19"/>
              </w:rPr>
              <w:t>Population Change</w:t>
            </w:r>
          </w:p>
        </w:tc>
        <w:tc>
          <w:tcPr>
            <w:tcW w:w="1148" w:type="dxa"/>
            <w:vAlign w:val="center"/>
          </w:tcPr>
          <w:p w14:paraId="6CF4DA90" w14:textId="77777777" w:rsidR="00D013FE" w:rsidRPr="00602082" w:rsidRDefault="00D013FE" w:rsidP="00EF0E27">
            <w:pPr>
              <w:spacing w:before="0" w:line="240" w:lineRule="auto"/>
              <w:jc w:val="center"/>
              <w:rPr>
                <w:sz w:val="19"/>
                <w:szCs w:val="19"/>
              </w:rPr>
            </w:pPr>
            <w:r w:rsidRPr="00602082">
              <w:rPr>
                <w:sz w:val="19"/>
                <w:szCs w:val="19"/>
              </w:rPr>
              <w:t>Population Change %</w:t>
            </w:r>
          </w:p>
        </w:tc>
        <w:tc>
          <w:tcPr>
            <w:tcW w:w="1165" w:type="dxa"/>
            <w:vAlign w:val="center"/>
          </w:tcPr>
          <w:p w14:paraId="0871C65E" w14:textId="77777777" w:rsidR="00D013FE" w:rsidRPr="00602082" w:rsidRDefault="00D013FE" w:rsidP="00EF0E27">
            <w:pPr>
              <w:spacing w:before="0" w:line="240" w:lineRule="auto"/>
              <w:jc w:val="center"/>
              <w:rPr>
                <w:sz w:val="19"/>
                <w:szCs w:val="19"/>
              </w:rPr>
            </w:pPr>
            <w:r w:rsidRPr="00602082">
              <w:rPr>
                <w:sz w:val="19"/>
                <w:szCs w:val="19"/>
              </w:rPr>
              <w:t>Household Change</w:t>
            </w:r>
          </w:p>
        </w:tc>
        <w:tc>
          <w:tcPr>
            <w:tcW w:w="1165" w:type="dxa"/>
            <w:vAlign w:val="center"/>
          </w:tcPr>
          <w:p w14:paraId="0FD3C7F6" w14:textId="77777777" w:rsidR="00D013FE" w:rsidRPr="00602082" w:rsidRDefault="00D013FE" w:rsidP="00EF0E27">
            <w:pPr>
              <w:spacing w:before="0" w:line="240" w:lineRule="auto"/>
              <w:jc w:val="center"/>
              <w:rPr>
                <w:sz w:val="19"/>
                <w:szCs w:val="19"/>
              </w:rPr>
            </w:pPr>
            <w:r w:rsidRPr="00602082">
              <w:rPr>
                <w:sz w:val="19"/>
                <w:szCs w:val="19"/>
              </w:rPr>
              <w:t>Household Change %</w:t>
            </w:r>
          </w:p>
        </w:tc>
        <w:tc>
          <w:tcPr>
            <w:tcW w:w="1116" w:type="dxa"/>
            <w:vAlign w:val="center"/>
          </w:tcPr>
          <w:p w14:paraId="4AAAEA9A" w14:textId="77777777" w:rsidR="00D013FE" w:rsidRPr="00602082" w:rsidRDefault="00D013FE" w:rsidP="00EF0E27">
            <w:pPr>
              <w:spacing w:before="0" w:line="240" w:lineRule="auto"/>
              <w:jc w:val="center"/>
              <w:rPr>
                <w:sz w:val="19"/>
                <w:szCs w:val="19"/>
              </w:rPr>
            </w:pPr>
            <w:r w:rsidRPr="00602082">
              <w:rPr>
                <w:sz w:val="19"/>
                <w:szCs w:val="19"/>
              </w:rPr>
              <w:t>Net Migration</w:t>
            </w:r>
          </w:p>
        </w:tc>
        <w:tc>
          <w:tcPr>
            <w:tcW w:w="1121" w:type="dxa"/>
            <w:vAlign w:val="center"/>
          </w:tcPr>
          <w:p w14:paraId="19F705AB" w14:textId="76103AB6" w:rsidR="00D013FE" w:rsidRPr="00474A0D" w:rsidRDefault="00474A0D" w:rsidP="00EF0E27">
            <w:pPr>
              <w:spacing w:before="0" w:line="240" w:lineRule="auto"/>
              <w:jc w:val="center"/>
              <w:rPr>
                <w:sz w:val="19"/>
                <w:szCs w:val="19"/>
              </w:rPr>
            </w:pPr>
            <w:r w:rsidRPr="00474A0D">
              <w:rPr>
                <w:sz w:val="19"/>
                <w:szCs w:val="19"/>
              </w:rPr>
              <w:t>Natural Change</w:t>
            </w:r>
          </w:p>
        </w:tc>
      </w:tr>
      <w:tr w:rsidR="00D013FE" w14:paraId="2ADD6E23" w14:textId="77777777" w:rsidTr="00474A0D">
        <w:trPr>
          <w:trHeight w:val="624"/>
        </w:trPr>
        <w:tc>
          <w:tcPr>
            <w:tcW w:w="2154" w:type="dxa"/>
            <w:vAlign w:val="center"/>
          </w:tcPr>
          <w:p w14:paraId="78E17D00" w14:textId="77777777" w:rsidR="00D013FE" w:rsidRPr="00FD6DA1" w:rsidRDefault="00D013FE" w:rsidP="00EF0E27">
            <w:pPr>
              <w:spacing w:before="0" w:line="240" w:lineRule="auto"/>
              <w:rPr>
                <w:color w:val="52A3CB"/>
                <w:sz w:val="19"/>
                <w:szCs w:val="19"/>
              </w:rPr>
            </w:pPr>
            <w:r w:rsidRPr="00FD6DA1">
              <w:rPr>
                <w:color w:val="52A3CB"/>
                <w:sz w:val="19"/>
                <w:szCs w:val="19"/>
              </w:rPr>
              <w:t>2022-Based</w:t>
            </w:r>
          </w:p>
          <w:p w14:paraId="7D85660D" w14:textId="77777777" w:rsidR="00D013FE" w:rsidRPr="00FD6DA1" w:rsidRDefault="00D013FE" w:rsidP="00EF0E27">
            <w:pPr>
              <w:spacing w:before="0" w:line="240" w:lineRule="auto"/>
              <w:rPr>
                <w:color w:val="52A3CB"/>
                <w:sz w:val="19"/>
                <w:szCs w:val="19"/>
              </w:rPr>
            </w:pPr>
            <w:r w:rsidRPr="00FD6DA1">
              <w:rPr>
                <w:color w:val="52A3CB"/>
                <w:sz w:val="19"/>
                <w:szCs w:val="19"/>
              </w:rPr>
              <w:t>Principal*</w:t>
            </w:r>
          </w:p>
        </w:tc>
        <w:tc>
          <w:tcPr>
            <w:tcW w:w="1148" w:type="dxa"/>
            <w:vAlign w:val="center"/>
          </w:tcPr>
          <w:p w14:paraId="01A90713" w14:textId="77777777" w:rsidR="00D013FE" w:rsidRPr="00FD6DA1" w:rsidRDefault="00D013FE" w:rsidP="00EF0E27">
            <w:pPr>
              <w:spacing w:before="0" w:line="240" w:lineRule="auto"/>
              <w:jc w:val="center"/>
              <w:rPr>
                <w:sz w:val="19"/>
                <w:szCs w:val="19"/>
              </w:rPr>
            </w:pPr>
            <w:r w:rsidRPr="00FD6DA1">
              <w:rPr>
                <w:sz w:val="19"/>
                <w:szCs w:val="19"/>
              </w:rPr>
              <w:t>+15,707</w:t>
            </w:r>
          </w:p>
        </w:tc>
        <w:tc>
          <w:tcPr>
            <w:tcW w:w="1148" w:type="dxa"/>
            <w:vAlign w:val="center"/>
          </w:tcPr>
          <w:p w14:paraId="4C810B3D" w14:textId="77777777" w:rsidR="00D013FE" w:rsidRPr="00FD6DA1" w:rsidRDefault="00D013FE" w:rsidP="00EF0E27">
            <w:pPr>
              <w:spacing w:before="0" w:line="240" w:lineRule="auto"/>
              <w:jc w:val="center"/>
              <w:rPr>
                <w:sz w:val="19"/>
                <w:szCs w:val="19"/>
              </w:rPr>
            </w:pPr>
            <w:r w:rsidRPr="00FD6DA1">
              <w:rPr>
                <w:sz w:val="19"/>
                <w:szCs w:val="19"/>
              </w:rPr>
              <w:t>8.5%</w:t>
            </w:r>
          </w:p>
        </w:tc>
        <w:tc>
          <w:tcPr>
            <w:tcW w:w="1165" w:type="dxa"/>
            <w:vAlign w:val="center"/>
          </w:tcPr>
          <w:p w14:paraId="0D990ADE" w14:textId="77777777" w:rsidR="00D013FE" w:rsidRPr="00FD6DA1" w:rsidRDefault="00D013FE" w:rsidP="00EF0E27">
            <w:pPr>
              <w:spacing w:before="0" w:line="240" w:lineRule="auto"/>
              <w:jc w:val="center"/>
              <w:rPr>
                <w:sz w:val="19"/>
                <w:szCs w:val="19"/>
              </w:rPr>
            </w:pPr>
            <w:r w:rsidRPr="00FD6DA1">
              <w:rPr>
                <w:sz w:val="19"/>
                <w:szCs w:val="19"/>
              </w:rPr>
              <w:t>8,599</w:t>
            </w:r>
          </w:p>
        </w:tc>
        <w:tc>
          <w:tcPr>
            <w:tcW w:w="1165" w:type="dxa"/>
            <w:vAlign w:val="center"/>
          </w:tcPr>
          <w:p w14:paraId="43428E36" w14:textId="77777777" w:rsidR="00D013FE" w:rsidRPr="00FD6DA1" w:rsidRDefault="00D013FE" w:rsidP="00EF0E27">
            <w:pPr>
              <w:spacing w:before="0" w:line="240" w:lineRule="auto"/>
              <w:jc w:val="center"/>
              <w:rPr>
                <w:sz w:val="19"/>
                <w:szCs w:val="19"/>
              </w:rPr>
            </w:pPr>
            <w:r w:rsidRPr="00FD6DA1">
              <w:rPr>
                <w:sz w:val="19"/>
                <w:szCs w:val="19"/>
              </w:rPr>
              <w:t>10.8%</w:t>
            </w:r>
          </w:p>
        </w:tc>
        <w:tc>
          <w:tcPr>
            <w:tcW w:w="1116" w:type="dxa"/>
            <w:vAlign w:val="center"/>
          </w:tcPr>
          <w:p w14:paraId="6B5683DB" w14:textId="4D51912B" w:rsidR="00D013FE" w:rsidRPr="00FD6DA1" w:rsidRDefault="00711E90" w:rsidP="00EF0E27">
            <w:pPr>
              <w:spacing w:before="0" w:line="240" w:lineRule="auto"/>
              <w:jc w:val="center"/>
              <w:rPr>
                <w:sz w:val="19"/>
                <w:szCs w:val="19"/>
              </w:rPr>
            </w:pPr>
            <w:r>
              <w:rPr>
                <w:sz w:val="19"/>
                <w:szCs w:val="19"/>
              </w:rPr>
              <w:t>1,964</w:t>
            </w:r>
          </w:p>
        </w:tc>
        <w:tc>
          <w:tcPr>
            <w:tcW w:w="1121" w:type="dxa"/>
            <w:vAlign w:val="center"/>
          </w:tcPr>
          <w:p w14:paraId="710D6B61" w14:textId="5B122C4C" w:rsidR="00D013FE" w:rsidRPr="00FD6DA1" w:rsidRDefault="00B90DBD" w:rsidP="00EF0E27">
            <w:pPr>
              <w:spacing w:before="0" w:line="240" w:lineRule="auto"/>
              <w:jc w:val="center"/>
              <w:rPr>
                <w:sz w:val="19"/>
                <w:szCs w:val="19"/>
              </w:rPr>
            </w:pPr>
            <w:r w:rsidRPr="00FD6DA1">
              <w:rPr>
                <w:sz w:val="19"/>
                <w:szCs w:val="19"/>
              </w:rPr>
              <w:t>-917</w:t>
            </w:r>
          </w:p>
        </w:tc>
      </w:tr>
      <w:tr w:rsidR="00D013FE" w14:paraId="3855B10D" w14:textId="77777777" w:rsidTr="00474A0D">
        <w:trPr>
          <w:trHeight w:val="624"/>
        </w:trPr>
        <w:tc>
          <w:tcPr>
            <w:tcW w:w="2154" w:type="dxa"/>
            <w:vAlign w:val="center"/>
          </w:tcPr>
          <w:p w14:paraId="0BD6FEF9" w14:textId="77777777" w:rsidR="00D013FE" w:rsidRPr="00FD6DA1" w:rsidRDefault="00D013FE" w:rsidP="00EF0E27">
            <w:pPr>
              <w:spacing w:before="0" w:line="240" w:lineRule="auto"/>
              <w:rPr>
                <w:color w:val="52A3CB"/>
                <w:sz w:val="19"/>
                <w:szCs w:val="19"/>
              </w:rPr>
            </w:pPr>
            <w:r w:rsidRPr="00FD6DA1">
              <w:rPr>
                <w:color w:val="52A3CB"/>
                <w:sz w:val="19"/>
                <w:szCs w:val="19"/>
              </w:rPr>
              <w:t>PG-10Y (2019)</w:t>
            </w:r>
          </w:p>
        </w:tc>
        <w:tc>
          <w:tcPr>
            <w:tcW w:w="1148" w:type="dxa"/>
            <w:vAlign w:val="center"/>
          </w:tcPr>
          <w:p w14:paraId="52004A28" w14:textId="77777777" w:rsidR="00D013FE" w:rsidRPr="00FD6DA1" w:rsidRDefault="00D013FE" w:rsidP="00EF0E27">
            <w:pPr>
              <w:spacing w:before="0" w:line="240" w:lineRule="auto"/>
              <w:jc w:val="center"/>
              <w:rPr>
                <w:sz w:val="19"/>
                <w:szCs w:val="19"/>
              </w:rPr>
            </w:pPr>
            <w:r w:rsidRPr="00FD6DA1">
              <w:rPr>
                <w:sz w:val="19"/>
                <w:szCs w:val="19"/>
              </w:rPr>
              <w:t>+15,115</w:t>
            </w:r>
          </w:p>
        </w:tc>
        <w:tc>
          <w:tcPr>
            <w:tcW w:w="1148" w:type="dxa"/>
            <w:vAlign w:val="center"/>
          </w:tcPr>
          <w:p w14:paraId="7029C71B" w14:textId="77777777" w:rsidR="00D013FE" w:rsidRPr="00FD6DA1" w:rsidRDefault="00D013FE" w:rsidP="00EF0E27">
            <w:pPr>
              <w:spacing w:before="0" w:line="240" w:lineRule="auto"/>
              <w:jc w:val="center"/>
              <w:rPr>
                <w:sz w:val="19"/>
                <w:szCs w:val="19"/>
              </w:rPr>
            </w:pPr>
            <w:r w:rsidRPr="00FD6DA1">
              <w:rPr>
                <w:sz w:val="19"/>
                <w:szCs w:val="19"/>
              </w:rPr>
              <w:t>8.1%</w:t>
            </w:r>
          </w:p>
        </w:tc>
        <w:tc>
          <w:tcPr>
            <w:tcW w:w="1165" w:type="dxa"/>
            <w:vAlign w:val="center"/>
          </w:tcPr>
          <w:p w14:paraId="0DC84A34" w14:textId="77777777" w:rsidR="00D013FE" w:rsidRPr="00FD6DA1" w:rsidRDefault="00D013FE" w:rsidP="00EF0E27">
            <w:pPr>
              <w:spacing w:before="0" w:line="240" w:lineRule="auto"/>
              <w:jc w:val="center"/>
              <w:rPr>
                <w:sz w:val="19"/>
                <w:szCs w:val="19"/>
              </w:rPr>
            </w:pPr>
            <w:r w:rsidRPr="00FD6DA1">
              <w:rPr>
                <w:sz w:val="19"/>
                <w:szCs w:val="19"/>
              </w:rPr>
              <w:t>8,538</w:t>
            </w:r>
          </w:p>
        </w:tc>
        <w:tc>
          <w:tcPr>
            <w:tcW w:w="1165" w:type="dxa"/>
            <w:vAlign w:val="center"/>
          </w:tcPr>
          <w:p w14:paraId="57D355E0" w14:textId="77777777" w:rsidR="00D013FE" w:rsidRPr="00FD6DA1" w:rsidRDefault="00D013FE" w:rsidP="00EF0E27">
            <w:pPr>
              <w:spacing w:before="0" w:line="240" w:lineRule="auto"/>
              <w:jc w:val="center"/>
              <w:rPr>
                <w:sz w:val="19"/>
                <w:szCs w:val="19"/>
              </w:rPr>
            </w:pPr>
            <w:r w:rsidRPr="00FD6DA1">
              <w:rPr>
                <w:sz w:val="19"/>
                <w:szCs w:val="19"/>
              </w:rPr>
              <w:t>10.6%</w:t>
            </w:r>
          </w:p>
        </w:tc>
        <w:tc>
          <w:tcPr>
            <w:tcW w:w="1116" w:type="dxa"/>
            <w:vAlign w:val="center"/>
          </w:tcPr>
          <w:p w14:paraId="619259ED" w14:textId="77777777" w:rsidR="00D013FE" w:rsidRPr="000E669A" w:rsidRDefault="00D013FE" w:rsidP="00EF0E27">
            <w:pPr>
              <w:spacing w:before="0" w:line="240" w:lineRule="auto"/>
              <w:jc w:val="center"/>
              <w:rPr>
                <w:sz w:val="19"/>
                <w:szCs w:val="19"/>
              </w:rPr>
            </w:pPr>
            <w:r w:rsidRPr="000E669A">
              <w:rPr>
                <w:sz w:val="19"/>
                <w:szCs w:val="19"/>
              </w:rPr>
              <w:t>1,337</w:t>
            </w:r>
          </w:p>
        </w:tc>
        <w:tc>
          <w:tcPr>
            <w:tcW w:w="1121" w:type="dxa"/>
            <w:vAlign w:val="center"/>
          </w:tcPr>
          <w:p w14:paraId="4690B3FC" w14:textId="3ABF6FF0" w:rsidR="00D013FE" w:rsidRPr="000E669A" w:rsidRDefault="00034497" w:rsidP="00EF0E27">
            <w:pPr>
              <w:spacing w:before="0" w:line="240" w:lineRule="auto"/>
              <w:jc w:val="center"/>
              <w:rPr>
                <w:sz w:val="19"/>
                <w:szCs w:val="19"/>
              </w:rPr>
            </w:pPr>
            <w:r w:rsidRPr="000E669A">
              <w:rPr>
                <w:sz w:val="19"/>
                <w:szCs w:val="19"/>
              </w:rPr>
              <w:t>-3</w:t>
            </w:r>
            <w:r w:rsidR="000E669A" w:rsidRPr="000E669A">
              <w:rPr>
                <w:sz w:val="19"/>
                <w:szCs w:val="19"/>
              </w:rPr>
              <w:t>29</w:t>
            </w:r>
          </w:p>
        </w:tc>
      </w:tr>
    </w:tbl>
    <w:p w14:paraId="0A1C5551" w14:textId="25CB5B38" w:rsidR="00D013FE" w:rsidRDefault="00D013FE" w:rsidP="00D013FE">
      <w:pPr>
        <w:pStyle w:val="TableNote"/>
        <w:spacing w:after="0"/>
      </w:pPr>
      <w:r>
        <w:t>* Estimates include the 2018–2021 ONS MYE and WG household estimates.</w:t>
      </w:r>
      <w:r w:rsidR="00474A0D">
        <w:t xml:space="preserve"> Note that UPC has been included </w:t>
      </w:r>
      <w:r w:rsidR="00711E90">
        <w:t xml:space="preserve">by Edge Analytics </w:t>
      </w:r>
      <w:r w:rsidR="00761D7D">
        <w:t>within the</w:t>
      </w:r>
      <w:r w:rsidR="00711E90">
        <w:t xml:space="preserve"> apportioned</w:t>
      </w:r>
      <w:r w:rsidR="00761D7D">
        <w:t xml:space="preserve"> MYE history in the 2022-based </w:t>
      </w:r>
      <w:r w:rsidR="00711E90" w:rsidRPr="00711E90">
        <w:rPr>
          <w:i/>
          <w:iCs/>
        </w:rPr>
        <w:t>Principal</w:t>
      </w:r>
      <w:r w:rsidR="00711E90">
        <w:t xml:space="preserve"> scenario in this table</w:t>
      </w:r>
      <w:r w:rsidR="00761D7D">
        <w:t xml:space="preserve"> </w:t>
      </w:r>
      <w:r w:rsidR="00711E90">
        <w:t xml:space="preserve">for comparability with the </w:t>
      </w:r>
      <w:r w:rsidR="00711E90" w:rsidRPr="00711E90">
        <w:rPr>
          <w:i/>
          <w:iCs/>
        </w:rPr>
        <w:t xml:space="preserve">PG-10Y (2019) </w:t>
      </w:r>
      <w:r w:rsidR="00711E90">
        <w:t>scenario</w:t>
      </w:r>
      <w:r w:rsidR="006D2BA8">
        <w:t>.</w:t>
      </w:r>
    </w:p>
    <w:p w14:paraId="0B4CA3AB" w14:textId="77777777" w:rsidR="000E669A" w:rsidRDefault="000E669A" w:rsidP="00D013FE">
      <w:pPr>
        <w:pStyle w:val="TableNote"/>
        <w:spacing w:after="0"/>
      </w:pPr>
    </w:p>
    <w:p w14:paraId="05742248" w14:textId="77777777" w:rsidR="00537D30" w:rsidRPr="00537D30" w:rsidRDefault="000E669A" w:rsidP="000E669A">
      <w:pPr>
        <w:pStyle w:val="ListParagraph"/>
        <w:rPr>
          <w:b/>
          <w:bCs/>
        </w:rPr>
      </w:pPr>
      <w:r w:rsidRPr="00DF69A6">
        <w:t>The slightly higher population growth outcome of the 2022-based Principal projection is a result of the</w:t>
      </w:r>
      <w:r w:rsidRPr="004155FC">
        <w:t xml:space="preserve"> historical MYE </w:t>
      </w:r>
      <w:r>
        <w:t>period</w:t>
      </w:r>
      <w:r w:rsidRPr="004155FC">
        <w:t xml:space="preserve"> from which the projections have been formulated</w:t>
      </w:r>
      <w:r>
        <w:t xml:space="preserve">. </w:t>
      </w:r>
    </w:p>
    <w:p w14:paraId="57C038BD" w14:textId="39870290" w:rsidR="00F90937" w:rsidRPr="00F90937" w:rsidRDefault="000E669A" w:rsidP="000E669A">
      <w:pPr>
        <w:pStyle w:val="ListParagraph"/>
        <w:rPr>
          <w:b/>
          <w:bCs/>
        </w:rPr>
      </w:pPr>
      <w:r>
        <w:t>Net migration</w:t>
      </w:r>
      <w:r w:rsidR="00537D30">
        <w:t xml:space="preserve"> (the combined impact of internal and international migration)</w:t>
      </w:r>
      <w:r>
        <w:t xml:space="preserve"> is</w:t>
      </w:r>
      <w:r w:rsidR="00537D30">
        <w:t xml:space="preserve"> </w:t>
      </w:r>
      <w:r>
        <w:t xml:space="preserve">higher </w:t>
      </w:r>
      <w:r w:rsidR="00537D30">
        <w:t>(</w:t>
      </w:r>
      <w:r w:rsidR="00711E90">
        <w:t>1,964</w:t>
      </w:r>
      <w:r w:rsidR="00537D30">
        <w:t xml:space="preserve"> per year) </w:t>
      </w:r>
      <w:r>
        <w:t xml:space="preserve">under the 2022-based </w:t>
      </w:r>
      <w:r w:rsidRPr="00F90937">
        <w:rPr>
          <w:i/>
          <w:iCs/>
        </w:rPr>
        <w:t>Principal</w:t>
      </w:r>
      <w:r>
        <w:t xml:space="preserve"> projection</w:t>
      </w:r>
      <w:r w:rsidR="00537D30">
        <w:t xml:space="preserve">, compared to 1,337 per year under the </w:t>
      </w:r>
      <w:r w:rsidR="00537D30" w:rsidRPr="00F90937">
        <w:rPr>
          <w:i/>
          <w:iCs/>
        </w:rPr>
        <w:t>PG-10Y (2019)</w:t>
      </w:r>
      <w:r w:rsidR="00537D30">
        <w:t xml:space="preserve"> scenario.</w:t>
      </w:r>
      <w:r>
        <w:t xml:space="preserve"> </w:t>
      </w:r>
      <w:r w:rsidR="00537D30">
        <w:t>This is a result of the higher level of</w:t>
      </w:r>
      <w:r>
        <w:t xml:space="preserve"> </w:t>
      </w:r>
      <w:r w:rsidR="00537D30">
        <w:t>net internal (domestic)</w:t>
      </w:r>
      <w:r>
        <w:t xml:space="preserve"> migration </w:t>
      </w:r>
      <w:r w:rsidR="00537D30">
        <w:t xml:space="preserve">in Carmarthenshire in </w:t>
      </w:r>
      <w:r>
        <w:t>the years preceding 2018</w:t>
      </w:r>
      <w:r w:rsidR="00537D30">
        <w:t xml:space="preserve"> (see </w:t>
      </w:r>
      <w:r w:rsidR="00537D30">
        <w:fldChar w:fldCharType="begin"/>
      </w:r>
      <w:r w:rsidR="00537D30">
        <w:instrText xml:space="preserve"> REF _Ref219990899 \h </w:instrText>
      </w:r>
      <w:r w:rsidR="00537D30">
        <w:fldChar w:fldCharType="separate"/>
      </w:r>
      <w:r w:rsidR="00CF2253">
        <w:t xml:space="preserve">Figure </w:t>
      </w:r>
      <w:r w:rsidR="00CF2253">
        <w:rPr>
          <w:noProof/>
        </w:rPr>
        <w:t>2</w:t>
      </w:r>
      <w:r w:rsidR="00537D30">
        <w:fldChar w:fldCharType="end"/>
      </w:r>
      <w:r w:rsidR="00537D30">
        <w:t xml:space="preserve"> on page </w:t>
      </w:r>
      <w:r w:rsidR="00537D30">
        <w:fldChar w:fldCharType="begin"/>
      </w:r>
      <w:r w:rsidR="00537D30">
        <w:instrText xml:space="preserve"> PAGEREF _Ref220604379 \h </w:instrText>
      </w:r>
      <w:r w:rsidR="00537D30">
        <w:fldChar w:fldCharType="separate"/>
      </w:r>
      <w:r w:rsidR="00CF2253">
        <w:rPr>
          <w:noProof/>
        </w:rPr>
        <w:t>4</w:t>
      </w:r>
      <w:r w:rsidR="00537D30">
        <w:fldChar w:fldCharType="end"/>
      </w:r>
      <w:r w:rsidR="00537D30">
        <w:t xml:space="preserve">); this is carried forwards in the 2022-based </w:t>
      </w:r>
      <w:r w:rsidR="00537D30" w:rsidRPr="00F90937">
        <w:rPr>
          <w:i/>
          <w:iCs/>
        </w:rPr>
        <w:t>Principal</w:t>
      </w:r>
      <w:r w:rsidR="00537D30">
        <w:t xml:space="preserve"> projection.</w:t>
      </w:r>
      <w:r w:rsidR="00F90937">
        <w:t xml:space="preserve"> </w:t>
      </w:r>
      <w:r>
        <w:t xml:space="preserve">The </w:t>
      </w:r>
      <w:r w:rsidRPr="00F90937">
        <w:rPr>
          <w:rFonts w:ascii="Aptos" w:hAnsi="Aptos"/>
          <w:i/>
          <w:iCs/>
        </w:rPr>
        <w:t>PG-10Y (2019)</w:t>
      </w:r>
      <w:r>
        <w:t xml:space="preserve"> scenario was underpinned by the pre-Census (i.e. non-rebased) MYE, from which more muted </w:t>
      </w:r>
      <w:r w:rsidR="00F90937">
        <w:t xml:space="preserve">internal </w:t>
      </w:r>
      <w:r>
        <w:t>migration assumptions were derived.</w:t>
      </w:r>
    </w:p>
    <w:p w14:paraId="2677F793" w14:textId="77777777" w:rsidR="00F90937" w:rsidRPr="00F90937" w:rsidRDefault="000E669A" w:rsidP="000E669A">
      <w:pPr>
        <w:pStyle w:val="ListParagraph"/>
        <w:rPr>
          <w:b/>
          <w:bCs/>
        </w:rPr>
      </w:pPr>
      <w:r>
        <w:t xml:space="preserve">The recent and projected continued decreases in fertility result in the </w:t>
      </w:r>
      <w:r w:rsidRPr="004155FC">
        <w:t xml:space="preserve">2022-based </w:t>
      </w:r>
      <w:r w:rsidRPr="008F3BFE">
        <w:rPr>
          <w:i/>
          <w:iCs/>
        </w:rPr>
        <w:t>Principal</w:t>
      </w:r>
      <w:r w:rsidRPr="004155FC">
        <w:t xml:space="preserve"> projection</w:t>
      </w:r>
      <w:r>
        <w:t xml:space="preserve"> seeing a greater loss of population through negative natural change compared to the </w:t>
      </w:r>
      <w:r w:rsidRPr="005D507F">
        <w:rPr>
          <w:rFonts w:ascii="Aptos" w:hAnsi="Aptos"/>
          <w:i/>
          <w:iCs/>
        </w:rPr>
        <w:t>PG-10Y (2019)</w:t>
      </w:r>
      <w:r>
        <w:t xml:space="preserve"> scenario (-917 per year compared to-329 per year). </w:t>
      </w:r>
    </w:p>
    <w:p w14:paraId="3DD87EAF" w14:textId="7495A7F4" w:rsidR="000E669A" w:rsidRPr="00ED345B" w:rsidRDefault="00F90937" w:rsidP="000E669A">
      <w:pPr>
        <w:pStyle w:val="ListParagraph"/>
        <w:rPr>
          <w:b/>
          <w:bCs/>
        </w:rPr>
      </w:pPr>
      <w:r w:rsidRPr="00F90937">
        <w:rPr>
          <w:b/>
          <w:bCs/>
        </w:rPr>
        <w:t>However</w:t>
      </w:r>
      <w:r>
        <w:t xml:space="preserve">, </w:t>
      </w:r>
      <w:r w:rsidRPr="00F90937">
        <w:rPr>
          <w:b/>
          <w:bCs/>
        </w:rPr>
        <w:t>t</w:t>
      </w:r>
      <w:r w:rsidR="000E669A" w:rsidRPr="007146D7">
        <w:rPr>
          <w:b/>
          <w:bCs/>
        </w:rPr>
        <w:t xml:space="preserve">he overall impact of the </w:t>
      </w:r>
      <w:r>
        <w:rPr>
          <w:b/>
          <w:bCs/>
        </w:rPr>
        <w:t xml:space="preserve">migration and natural change </w:t>
      </w:r>
      <w:r w:rsidR="000E669A" w:rsidRPr="007146D7">
        <w:rPr>
          <w:b/>
          <w:bCs/>
        </w:rPr>
        <w:t>differences i</w:t>
      </w:r>
      <w:r>
        <w:rPr>
          <w:b/>
          <w:bCs/>
        </w:rPr>
        <w:t>s</w:t>
      </w:r>
      <w:r w:rsidR="000E669A" w:rsidRPr="007146D7">
        <w:rPr>
          <w:b/>
          <w:bCs/>
        </w:rPr>
        <w:t xml:space="preserve"> similar in </w:t>
      </w:r>
      <w:r>
        <w:rPr>
          <w:b/>
          <w:bCs/>
        </w:rPr>
        <w:t xml:space="preserve">terms of </w:t>
      </w:r>
      <w:r w:rsidR="000E669A" w:rsidRPr="007146D7">
        <w:rPr>
          <w:b/>
          <w:bCs/>
        </w:rPr>
        <w:t xml:space="preserve">total population growth </w:t>
      </w:r>
      <w:r>
        <w:rPr>
          <w:b/>
          <w:bCs/>
        </w:rPr>
        <w:t>between 2018 and 2033</w:t>
      </w:r>
      <w:r w:rsidR="00711E90">
        <w:rPr>
          <w:b/>
          <w:bCs/>
        </w:rPr>
        <w:t xml:space="preserve">: </w:t>
      </w:r>
      <w:r w:rsidR="00711E90" w:rsidRPr="00711E90">
        <w:t>b</w:t>
      </w:r>
      <w:r w:rsidR="00FE366D">
        <w:t xml:space="preserve">oth scenarios result in population growth averaging </w:t>
      </w:r>
      <w:r w:rsidR="00711E90">
        <w:t>just over</w:t>
      </w:r>
      <w:r w:rsidR="00FE366D">
        <w:t xml:space="preserve"> </w:t>
      </w:r>
      <w:r w:rsidR="00711E90">
        <w:t xml:space="preserve">1,000 people per year. </w:t>
      </w:r>
    </w:p>
    <w:p w14:paraId="657F78FE" w14:textId="6B02518D" w:rsidR="00F90937" w:rsidRPr="006319DF" w:rsidRDefault="000E669A" w:rsidP="000E669A">
      <w:pPr>
        <w:pStyle w:val="ListParagraph"/>
        <w:rPr>
          <w:b/>
          <w:bCs/>
        </w:rPr>
      </w:pPr>
      <w:r>
        <w:t xml:space="preserve">Despite the different underpinning household assumptions (the </w:t>
      </w:r>
      <w:r w:rsidRPr="00F90937">
        <w:rPr>
          <w:rFonts w:ascii="Aptos" w:hAnsi="Aptos"/>
          <w:i/>
          <w:iCs/>
        </w:rPr>
        <w:t>PG-10Y (2019)</w:t>
      </w:r>
      <w:r>
        <w:t xml:space="preserve"> scenario utilised membership rate assumptions from the earlier 2014-based Welsh Government projections), </w:t>
      </w:r>
      <w:r w:rsidRPr="00F90937">
        <w:rPr>
          <w:b/>
          <w:bCs/>
        </w:rPr>
        <w:t>the level of household growth is also similar,</w:t>
      </w:r>
      <w:r>
        <w:t xml:space="preserve"> </w:t>
      </w:r>
      <w:r w:rsidR="00711E90">
        <w:t xml:space="preserve">at </w:t>
      </w:r>
      <w:r>
        <w:t xml:space="preserve">just under 11% across the plan period (see </w:t>
      </w:r>
      <w:r>
        <w:fldChar w:fldCharType="begin"/>
      </w:r>
      <w:r>
        <w:instrText xml:space="preserve"> REF _Ref219902696 \h </w:instrText>
      </w:r>
      <w:r>
        <w:fldChar w:fldCharType="separate"/>
      </w:r>
      <w:r w:rsidR="00CF2253">
        <w:t xml:space="preserve">Table </w:t>
      </w:r>
      <w:r w:rsidR="00CF2253">
        <w:rPr>
          <w:noProof/>
        </w:rPr>
        <w:t>3</w:t>
      </w:r>
      <w:r>
        <w:fldChar w:fldCharType="end"/>
      </w:r>
      <w:r>
        <w:t>). Without the household detail behind the 2022-based projections, it is not possible to compare the household composition implied by these two projections.</w:t>
      </w:r>
    </w:p>
    <w:p w14:paraId="74469DA4" w14:textId="44B9EB04" w:rsidR="006319DF" w:rsidRPr="006319DF" w:rsidRDefault="00F90937" w:rsidP="000E669A">
      <w:pPr>
        <w:pStyle w:val="ListParagraph"/>
        <w:rPr>
          <w:b/>
          <w:bCs/>
        </w:rPr>
      </w:pPr>
      <w:r>
        <w:t xml:space="preserve">A further comparison is the resulting </w:t>
      </w:r>
      <w:r w:rsidRPr="006319DF">
        <w:rPr>
          <w:b/>
          <w:bCs/>
        </w:rPr>
        <w:t>age profile</w:t>
      </w:r>
      <w:r w:rsidR="00711E90" w:rsidRPr="006319DF">
        <w:rPr>
          <w:b/>
          <w:bCs/>
        </w:rPr>
        <w:t xml:space="preserve"> change</w:t>
      </w:r>
      <w:r w:rsidR="006319DF">
        <w:rPr>
          <w:b/>
          <w:bCs/>
        </w:rPr>
        <w:t>s</w:t>
      </w:r>
      <w:r w:rsidR="00711E90">
        <w:t xml:space="preserve"> under each scenario</w:t>
      </w:r>
      <w:r>
        <w:t xml:space="preserve">, as </w:t>
      </w:r>
      <w:r w:rsidR="00711E90">
        <w:t xml:space="preserve">illustrated below in </w:t>
      </w:r>
      <w:r w:rsidR="00711E90">
        <w:fldChar w:fldCharType="begin"/>
      </w:r>
      <w:r w:rsidR="00711E90">
        <w:instrText xml:space="preserve"> REF _Ref220595557 \h </w:instrText>
      </w:r>
      <w:r w:rsidR="00711E90">
        <w:fldChar w:fldCharType="separate"/>
      </w:r>
      <w:r w:rsidR="00CF2253">
        <w:t xml:space="preserve">Figure </w:t>
      </w:r>
      <w:r w:rsidR="00CF2253">
        <w:rPr>
          <w:noProof/>
        </w:rPr>
        <w:t>7</w:t>
      </w:r>
      <w:r w:rsidR="00711E90">
        <w:fldChar w:fldCharType="end"/>
      </w:r>
      <w:r w:rsidR="00711E90">
        <w:t xml:space="preserve">. </w:t>
      </w:r>
      <w:r w:rsidR="006319DF">
        <w:t xml:space="preserve">Both scenarios see overall comparable growth in the 60+ age groups, equivalent to an additional +16,000 people between 2018 and 2033, although growth is more evenly distributed across the older age groups in the 2022-based </w:t>
      </w:r>
      <w:r w:rsidR="006319DF" w:rsidRPr="006319DF">
        <w:rPr>
          <w:i/>
          <w:iCs/>
        </w:rPr>
        <w:t>Principal</w:t>
      </w:r>
      <w:r w:rsidR="006319DF">
        <w:t xml:space="preserve"> projection; in the </w:t>
      </w:r>
      <w:r w:rsidR="006319DF" w:rsidRPr="006319DF">
        <w:rPr>
          <w:i/>
          <w:iCs/>
        </w:rPr>
        <w:t>PG-10Y (2019)</w:t>
      </w:r>
      <w:r w:rsidR="006319DF">
        <w:t xml:space="preserve"> scenario, growth was more heavily weighted towards the oldest 85+ age group. Reflecting the lower fertility assumptions, the 2022-based projection sees population </w:t>
      </w:r>
      <w:r w:rsidR="006319DF" w:rsidRPr="004504C4">
        <w:rPr>
          <w:i/>
          <w:iCs/>
        </w:rPr>
        <w:t>decline</w:t>
      </w:r>
      <w:r w:rsidR="006319DF">
        <w:t xml:space="preserve"> in the youngest age groups. </w:t>
      </w:r>
      <w:r w:rsidR="004504C4">
        <w:t xml:space="preserve">In the 2022-based </w:t>
      </w:r>
      <w:r w:rsidR="000C148B">
        <w:rPr>
          <w:i/>
          <w:iCs/>
        </w:rPr>
        <w:t xml:space="preserve">Principal </w:t>
      </w:r>
      <w:r w:rsidR="004504C4">
        <w:t>projection, population growth is more positive in the working age groups.</w:t>
      </w:r>
    </w:p>
    <w:p w14:paraId="76C03CDC" w14:textId="6CCFD6E8" w:rsidR="003B1A4C" w:rsidRDefault="00AD0428" w:rsidP="000E669A">
      <w:pPr>
        <w:pStyle w:val="Figure"/>
      </w:pPr>
      <w:r w:rsidRPr="00AD0428">
        <w:rPr>
          <w:noProof/>
        </w:rPr>
        <w:lastRenderedPageBreak/>
        <w:drawing>
          <wp:inline distT="0" distB="0" distL="0" distR="0" wp14:anchorId="370EDE57" wp14:editId="670C0045">
            <wp:extent cx="5759450" cy="2179955"/>
            <wp:effectExtent l="0" t="0" r="0" b="0"/>
            <wp:docPr id="18529522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179955"/>
                    </a:xfrm>
                    <a:prstGeom prst="rect">
                      <a:avLst/>
                    </a:prstGeom>
                    <a:noFill/>
                    <a:ln>
                      <a:noFill/>
                    </a:ln>
                  </pic:spPr>
                </pic:pic>
              </a:graphicData>
            </a:graphic>
          </wp:inline>
        </w:drawing>
      </w:r>
    </w:p>
    <w:p w14:paraId="47EBC360" w14:textId="244F044A" w:rsidR="003B1A4C" w:rsidRDefault="003B1A4C" w:rsidP="003B1A4C">
      <w:pPr>
        <w:pStyle w:val="Caption"/>
      </w:pPr>
      <w:bookmarkStart w:id="33" w:name="_Ref220595557"/>
      <w:r>
        <w:t xml:space="preserve">Figure </w:t>
      </w:r>
      <w:r w:rsidR="00CF2253">
        <w:fldChar w:fldCharType="begin"/>
      </w:r>
      <w:r w:rsidR="00CF2253">
        <w:instrText xml:space="preserve"> SEQ Figure \* ARABIC </w:instrText>
      </w:r>
      <w:r w:rsidR="00CF2253">
        <w:fldChar w:fldCharType="separate"/>
      </w:r>
      <w:r w:rsidR="00CF2253">
        <w:rPr>
          <w:noProof/>
        </w:rPr>
        <w:t>7</w:t>
      </w:r>
      <w:r w:rsidR="00CF2253">
        <w:rPr>
          <w:noProof/>
        </w:rPr>
        <w:fldChar w:fldCharType="end"/>
      </w:r>
      <w:bookmarkEnd w:id="33"/>
      <w:r>
        <w:t xml:space="preserve">: </w:t>
      </w:r>
      <w:r w:rsidRPr="00F03F60">
        <w:t>Preferred demographic scenario and WG 2022-based</w:t>
      </w:r>
      <w:r>
        <w:br/>
      </w:r>
      <w:r w:rsidRPr="00F03F60">
        <w:t xml:space="preserve"> </w:t>
      </w:r>
      <w:r>
        <w:rPr>
          <w:i/>
          <w:iCs/>
        </w:rPr>
        <w:t xml:space="preserve">Principal </w:t>
      </w:r>
      <w:r w:rsidRPr="00F03F60">
        <w:t>projection</w:t>
      </w:r>
      <w:r>
        <w:t xml:space="preserve">: population </w:t>
      </w:r>
      <w:r w:rsidR="003B7E41">
        <w:t>change</w:t>
      </w:r>
      <w:r>
        <w:t xml:space="preserve"> by age</w:t>
      </w:r>
      <w:r w:rsidR="003B7E41">
        <w:t xml:space="preserve"> group</w:t>
      </w:r>
    </w:p>
    <w:p w14:paraId="3AB312AA" w14:textId="44E6358E" w:rsidR="003B1A4C" w:rsidRDefault="003B1A4C" w:rsidP="003B1A4C">
      <w:pPr>
        <w:pStyle w:val="FigureNote"/>
        <w:spacing w:before="0"/>
      </w:pPr>
      <w:r>
        <w:t>Source: ONS, WG, Edge Analytics</w:t>
      </w:r>
    </w:p>
    <w:p w14:paraId="472FD705" w14:textId="3AEAA863" w:rsidR="00D013FE" w:rsidRDefault="000E669A" w:rsidP="00D013FE">
      <w:pPr>
        <w:pStyle w:val="Heading2"/>
      </w:pPr>
      <w:bookmarkStart w:id="34" w:name="_Toc220661319"/>
      <w:r w:rsidRPr="000E669A">
        <w:t>Considerations</w:t>
      </w:r>
      <w:bookmarkEnd w:id="34"/>
    </w:p>
    <w:p w14:paraId="02941200" w14:textId="28FBF7DE" w:rsidR="000E669A" w:rsidRDefault="000E669A" w:rsidP="000E669A">
      <w:pPr>
        <w:pStyle w:val="ListParagraph"/>
        <w:rPr>
          <w:b/>
          <w:bCs/>
        </w:rPr>
      </w:pPr>
      <w:r w:rsidRPr="002A7C9B">
        <w:rPr>
          <w:b/>
          <w:bCs/>
        </w:rPr>
        <w:t xml:space="preserve">The 2022-based </w:t>
      </w:r>
      <w:r w:rsidRPr="004504C4">
        <w:rPr>
          <w:b/>
          <w:bCs/>
          <w:i/>
          <w:iCs/>
        </w:rPr>
        <w:t>Principal</w:t>
      </w:r>
      <w:r w:rsidRPr="002A7C9B">
        <w:rPr>
          <w:b/>
          <w:bCs/>
        </w:rPr>
        <w:t xml:space="preserve"> projection from Welsh Government result</w:t>
      </w:r>
      <w:r w:rsidR="004504C4">
        <w:rPr>
          <w:b/>
          <w:bCs/>
        </w:rPr>
        <w:t>s</w:t>
      </w:r>
      <w:r w:rsidRPr="002A7C9B">
        <w:rPr>
          <w:b/>
          <w:bCs/>
        </w:rPr>
        <w:t xml:space="preserve"> in similar levels of population and household growth </w:t>
      </w:r>
      <w:r w:rsidR="002A7C9B" w:rsidRPr="002A7C9B">
        <w:rPr>
          <w:b/>
          <w:bCs/>
        </w:rPr>
        <w:t xml:space="preserve">to the preferred </w:t>
      </w:r>
      <w:r w:rsidR="002A7C9B" w:rsidRPr="002A7C9B">
        <w:rPr>
          <w:b/>
          <w:bCs/>
          <w:i/>
          <w:iCs/>
        </w:rPr>
        <w:t>PG-10Y (2019)</w:t>
      </w:r>
      <w:r w:rsidR="002A7C9B" w:rsidRPr="002A7C9B">
        <w:rPr>
          <w:b/>
          <w:bCs/>
        </w:rPr>
        <w:t xml:space="preserve"> scenario that underpins the Carmarthenshire Revise</w:t>
      </w:r>
      <w:r w:rsidR="00722863">
        <w:rPr>
          <w:b/>
          <w:bCs/>
        </w:rPr>
        <w:t>d</w:t>
      </w:r>
      <w:r w:rsidR="002A7C9B" w:rsidRPr="002A7C9B">
        <w:rPr>
          <w:b/>
          <w:bCs/>
        </w:rPr>
        <w:t xml:space="preserve"> LDP</w:t>
      </w:r>
      <w:r w:rsidR="00D121A0">
        <w:rPr>
          <w:b/>
          <w:bCs/>
        </w:rPr>
        <w:t>.</w:t>
      </w:r>
    </w:p>
    <w:p w14:paraId="23215199" w14:textId="69970DDE" w:rsidR="004504C4" w:rsidRPr="004504C4" w:rsidRDefault="002A7C9B" w:rsidP="000E669A">
      <w:pPr>
        <w:pStyle w:val="ListParagraph"/>
        <w:rPr>
          <w:b/>
          <w:bCs/>
        </w:rPr>
      </w:pPr>
      <w:r>
        <w:t>This is despite several significant changes to the historical demographic evidence</w:t>
      </w:r>
      <w:r w:rsidR="004504C4">
        <w:t xml:space="preserve"> that underpins the projections. The 2021 Census was an important update for local authorities across England and Wales, providing (amongst other things) updated information on household occupancy and composition (informing the 2022-based household projection model), as well as informing the post-Census MYE rebasing exercise caried out by ONS</w:t>
      </w:r>
      <w:r w:rsidR="00D121A0">
        <w:t>.</w:t>
      </w:r>
    </w:p>
    <w:p w14:paraId="4BBBA175" w14:textId="47563DB9" w:rsidR="004504C4" w:rsidRPr="004504C4" w:rsidRDefault="004504C4" w:rsidP="000E669A">
      <w:pPr>
        <w:pStyle w:val="ListParagraph"/>
        <w:rPr>
          <w:b/>
          <w:bCs/>
        </w:rPr>
      </w:pPr>
      <w:r>
        <w:t>Coupled with changes to the patterns of both internal and international migration seen in recent years, and a continued decline in fertility rates, the net migration and natural change outcomes of the two scenarios are different</w:t>
      </w:r>
      <w:r w:rsidR="00D121A0">
        <w:t>.</w:t>
      </w:r>
      <w:r>
        <w:t xml:space="preserve"> </w:t>
      </w:r>
      <w:r w:rsidR="00D121A0">
        <w:t>T</w:t>
      </w:r>
      <w:r>
        <w:t xml:space="preserve">he more positive impact of net internal migration in Carmarthenshire under the 2022-based </w:t>
      </w:r>
      <w:r w:rsidRPr="004504C4">
        <w:rPr>
          <w:i/>
          <w:iCs/>
        </w:rPr>
        <w:t>Principal</w:t>
      </w:r>
      <w:r>
        <w:t xml:space="preserve"> projection is</w:t>
      </w:r>
      <w:r w:rsidR="00D121A0">
        <w:t>, however,</w:t>
      </w:r>
      <w:r>
        <w:t xml:space="preserve"> counteracted by increased population loss through natural change</w:t>
      </w:r>
      <w:r w:rsidR="00D121A0">
        <w:t>, resulting in comparable overall levels of population growth.</w:t>
      </w:r>
    </w:p>
    <w:p w14:paraId="0A8595E3" w14:textId="72064BFE" w:rsidR="00D121A0" w:rsidRPr="00D121A0" w:rsidRDefault="004504C4" w:rsidP="000E669A">
      <w:pPr>
        <w:pStyle w:val="ListParagraph"/>
        <w:rPr>
          <w:b/>
          <w:bCs/>
        </w:rPr>
      </w:pPr>
      <w:r w:rsidRPr="00D121A0">
        <w:rPr>
          <w:b/>
          <w:bCs/>
        </w:rPr>
        <w:t>T</w:t>
      </w:r>
      <w:r w:rsidR="006319DF" w:rsidRPr="00D121A0">
        <w:rPr>
          <w:b/>
          <w:bCs/>
        </w:rPr>
        <w:t>he broad alignment of the</w:t>
      </w:r>
      <w:r w:rsidR="00D121A0" w:rsidRPr="00D121A0">
        <w:rPr>
          <w:b/>
          <w:bCs/>
        </w:rPr>
        <w:t xml:space="preserve"> overall</w:t>
      </w:r>
      <w:r w:rsidR="006319DF" w:rsidRPr="00D121A0">
        <w:rPr>
          <w:b/>
          <w:bCs/>
        </w:rPr>
        <w:t xml:space="preserve"> scenario outcomes </w:t>
      </w:r>
      <w:r w:rsidR="00D121A0" w:rsidRPr="00D121A0">
        <w:rPr>
          <w:b/>
          <w:bCs/>
        </w:rPr>
        <w:t xml:space="preserve">in terms of population and household growth suggests that the </w:t>
      </w:r>
      <w:r w:rsidR="00D121A0" w:rsidRPr="00D121A0">
        <w:rPr>
          <w:b/>
          <w:bCs/>
          <w:i/>
          <w:iCs/>
        </w:rPr>
        <w:t>PG-10Y (2019)</w:t>
      </w:r>
      <w:r w:rsidR="00D121A0" w:rsidRPr="00D121A0">
        <w:rPr>
          <w:b/>
          <w:bCs/>
        </w:rPr>
        <w:t xml:space="preserve"> scenario remains an appropriate basis for planning in Carmarthenshire.</w:t>
      </w:r>
    </w:p>
    <w:p w14:paraId="5A13C1DC" w14:textId="492403CF" w:rsidR="00D121A0" w:rsidRPr="00D121A0" w:rsidRDefault="00D121A0" w:rsidP="000E669A">
      <w:pPr>
        <w:pStyle w:val="ListParagraph"/>
        <w:rPr>
          <w:b/>
          <w:bCs/>
        </w:rPr>
      </w:pPr>
      <w:r>
        <w:t xml:space="preserve">Whilst the dwelling growth implications of the 2022-based </w:t>
      </w:r>
      <w:r w:rsidRPr="00D121A0">
        <w:rPr>
          <w:i/>
          <w:iCs/>
        </w:rPr>
        <w:t>Principal</w:t>
      </w:r>
      <w:r>
        <w:t xml:space="preserve"> projection have not been considered as part of this briefing note, the alignment in the overall levels of household growth suggest that the dwelling requirement of 588 per year remains broadly appropriate. It is recommended, however, that the council considers the potential for the presented age profile differences of the two scenarios to impact on household composition and the subsequent size, type and tenure of properties that may be required. This analysis would be possible following the full release of the data that sits behind the 2022-based Welsh Government projections.</w:t>
      </w:r>
    </w:p>
    <w:p w14:paraId="5B3F42DF" w14:textId="77777777" w:rsidR="00FC0E2E" w:rsidRDefault="00FC0E2E" w:rsidP="00FF1BC9">
      <w:pPr>
        <w:pStyle w:val="ListParagraph"/>
        <w:numPr>
          <w:ilvl w:val="0"/>
          <w:numId w:val="0"/>
        </w:numPr>
        <w:sectPr w:rsidR="00FC0E2E" w:rsidSect="001136F6">
          <w:headerReference w:type="default" r:id="rId26"/>
          <w:pgSz w:w="11906" w:h="16838"/>
          <w:pgMar w:top="1418" w:right="1418" w:bottom="1560" w:left="1418" w:header="709" w:footer="709" w:gutter="0"/>
          <w:pgNumType w:start="1"/>
          <w:cols w:space="708"/>
          <w:docGrid w:linePitch="360"/>
        </w:sectPr>
      </w:pPr>
    </w:p>
    <w:p w14:paraId="75580115" w14:textId="77777777" w:rsidR="00E63202" w:rsidRDefault="00A87E48" w:rsidP="00F06713">
      <w:r>
        <w:rPr>
          <w:noProof/>
        </w:rPr>
        <w:lastRenderedPageBreak/>
        <mc:AlternateContent>
          <mc:Choice Requires="wps">
            <w:drawing>
              <wp:anchor distT="0" distB="0" distL="114300" distR="114300" simplePos="0" relativeHeight="251658247" behindDoc="1" locked="0" layoutInCell="1" allowOverlap="1" wp14:anchorId="75D3271C" wp14:editId="409049D1">
                <wp:simplePos x="0" y="0"/>
                <wp:positionH relativeFrom="column">
                  <wp:posOffset>-1006756</wp:posOffset>
                </wp:positionH>
                <wp:positionV relativeFrom="paragraph">
                  <wp:posOffset>-1064260</wp:posOffset>
                </wp:positionV>
                <wp:extent cx="7697707" cy="10802679"/>
                <wp:effectExtent l="0" t="0" r="17780" b="17780"/>
                <wp:wrapNone/>
                <wp:docPr id="207779799" name="Rectangle 2"/>
                <wp:cNvGraphicFramePr/>
                <a:graphic xmlns:a="http://schemas.openxmlformats.org/drawingml/2006/main">
                  <a:graphicData uri="http://schemas.microsoft.com/office/word/2010/wordprocessingShape">
                    <wps:wsp>
                      <wps:cNvSpPr/>
                      <wps:spPr>
                        <a:xfrm>
                          <a:off x="0" y="0"/>
                          <a:ext cx="7697707" cy="10802679"/>
                        </a:xfrm>
                        <a:prstGeom prst="rect">
                          <a:avLst/>
                        </a:prstGeom>
                        <a:solidFill>
                          <a:srgbClr val="0F314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60BDAB0" id="Rectangle 2" o:spid="_x0000_s1026" style="position:absolute;margin-left:-79.25pt;margin-top:-83.8pt;width:606.1pt;height:850.6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SMdQIAAEkFAAAOAAAAZHJzL2Uyb0RvYy54bWysVEtv2zAMvg/YfxB0X21nadMGdYqgRYYB&#10;RVusHXpWZCk2IIsapbz260fJjhO0xQ7DLjJpkh8f+qjrm11r2Eahb8CWvDjLOVNWQtXYVcl/viy+&#10;XHLmg7CVMGBVyffK85vZ50/XWzdVI6jBVAoZgVg/3bqS1yG4aZZ5WatW+DNwypJRA7YikIqrrEKx&#10;JfTWZKM8v8i2gJVDkMp7+nvXGfks4WutZHjU2qvATMmptpBOTOcyntnsWkxXKFzdyL4M8Q9VtKKx&#10;lHSAuhNBsDU276DaRiJ40OFMQpuB1o1UqQfqpsjfdPNcC6dSLzQc74Yx+f8HKx82z+4JaQxb56ee&#10;xNjFTmMbv1Qf26Vh7YdhqV1gkn5OLq4mk3zCmSRbkV/mo4vJVZxndox36MM3BS2LQsmRriNNSWzu&#10;fehcDy4xnQfTVIvGmKTganlrkG1EvLrF12J816OfuGXHqpMU9kbFYGN/KM2aiuocpYyJUGrAE1Iq&#10;G4rOVItKdWmK8zxPnKAehojUUQKMyJrKG7B7gEjW99hdf71/DFWJj0Nw/rfCuuAhImUGG4bgtrGA&#10;HwEY6qrP3PlT+SejieISqv0TMoRuG7yTi4bu51748CSQ6E+LQisdHunQBrYlh17irAb8/dH/6E+s&#10;JCtnW1qnkvtfa4GKM/PdEl+vivE47l9SxueTESl4almeWuy6vQW69oIeDyeTGP2DOYgaoX2lzZ/H&#10;rGQSVlLuksuAB+U2dGtOb4dU83lyo51zItzbZycjeJxq5N/L7lWg60kaiOAPcFg9MX3D1c43RlqY&#10;rwPoJhH5ONd+3rSviTj92xIfhFM9eR1fwNkfAAAA//8DAFBLAwQUAAYACAAAACEA3K8WEuEAAAAP&#10;AQAADwAAAGRycy9kb3ducmV2LnhtbEyPTUvEMBCG74L/IYzgbTdda9OlNl1kQQ8iiHXxnDZjW2wm&#10;pUk//PemJ729wzy880x+Wk3PZhxdZ0nCYR8BQ6qt7qiRcPl42h2BOa9Iq94SSvhBB6fi+ipXmbYL&#10;veNc+oaFEnKZktB6P2Scu7pFo9zeDkhh92VHo3wYx4brUS2h3PT8LooEN6qjcKFVA55brL/LyUh4&#10;PZsuLZ9fFmEm/UmX+7fKxrOUtzfr4wMwj6v/g2HTD+pQBKfKTqQd6yXsDskxCeyWRCqAbUyUxCmw&#10;KqQkjgXwIuf//yh+AQAA//8DAFBLAQItABQABgAIAAAAIQC2gziS/gAAAOEBAAATAAAAAAAAAAAA&#10;AAAAAAAAAABbQ29udGVudF9UeXBlc10ueG1sUEsBAi0AFAAGAAgAAAAhADj9If/WAAAAlAEAAAsA&#10;AAAAAAAAAAAAAAAALwEAAF9yZWxzLy5yZWxzUEsBAi0AFAAGAAgAAAAhAMzXVIx1AgAASQUAAA4A&#10;AAAAAAAAAAAAAAAALgIAAGRycy9lMm9Eb2MueG1sUEsBAi0AFAAGAAgAAAAhANyvFhLhAAAADwEA&#10;AA8AAAAAAAAAAAAAAAAAzwQAAGRycy9kb3ducmV2LnhtbFBLBQYAAAAABAAEAPMAAADdBQAAAAA=&#10;" fillcolor="#0f314d" strokecolor="#030e13 [484]" strokeweight="1pt"/>
            </w:pict>
          </mc:Fallback>
        </mc:AlternateContent>
      </w:r>
    </w:p>
    <w:p w14:paraId="4C2E7292" w14:textId="77777777" w:rsidR="00612CAB" w:rsidRPr="00612CAB" w:rsidRDefault="00FC04F9" w:rsidP="00FC04F9">
      <w:pPr>
        <w:pStyle w:val="AppendixText"/>
        <w:numPr>
          <w:ilvl w:val="0"/>
          <w:numId w:val="0"/>
        </w:numPr>
        <w:tabs>
          <w:tab w:val="left" w:pos="142"/>
        </w:tabs>
      </w:pPr>
      <w:r>
        <w:rPr>
          <w:noProof/>
        </w:rPr>
        <w:drawing>
          <wp:anchor distT="0" distB="0" distL="114300" distR="114300" simplePos="0" relativeHeight="251658245" behindDoc="0" locked="0" layoutInCell="1" allowOverlap="1" wp14:anchorId="7A6CBF73" wp14:editId="38F98787">
            <wp:simplePos x="0" y="0"/>
            <wp:positionH relativeFrom="column">
              <wp:posOffset>127000</wp:posOffset>
            </wp:positionH>
            <wp:positionV relativeFrom="paragraph">
              <wp:posOffset>6743700</wp:posOffset>
            </wp:positionV>
            <wp:extent cx="1508760" cy="694690"/>
            <wp:effectExtent l="0" t="0" r="0" b="0"/>
            <wp:wrapNone/>
            <wp:docPr id="1856080377" name="Graphic 10">
              <a:extLst xmlns:a="http://schemas.openxmlformats.org/drawingml/2006/main">
                <a:ext uri="{FF2B5EF4-FFF2-40B4-BE49-F238E27FC236}">
                  <a16:creationId xmlns:a16="http://schemas.microsoft.com/office/drawing/2014/main" id="{58AE8553-7198-C9C0-A755-2CB316398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58AE8553-7198-C9C0-A755-2CB316398142}"/>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1508760" cy="694690"/>
                    </a:xfrm>
                    <a:prstGeom prst="rect">
                      <a:avLst/>
                    </a:prstGeom>
                  </pic:spPr>
                </pic:pic>
              </a:graphicData>
            </a:graphic>
          </wp:anchor>
        </w:drawing>
      </w:r>
      <w:r>
        <w:rPr>
          <w:noProof/>
        </w:rPr>
        <mc:AlternateContent>
          <mc:Choice Requires="wps">
            <w:drawing>
              <wp:anchor distT="0" distB="0" distL="114300" distR="114300" simplePos="0" relativeHeight="251658243" behindDoc="0" locked="0" layoutInCell="1" allowOverlap="1" wp14:anchorId="57D11D7C" wp14:editId="0C64F6EA">
                <wp:simplePos x="0" y="0"/>
                <wp:positionH relativeFrom="column">
                  <wp:posOffset>20429</wp:posOffset>
                </wp:positionH>
                <wp:positionV relativeFrom="paragraph">
                  <wp:posOffset>7634605</wp:posOffset>
                </wp:positionV>
                <wp:extent cx="3988435" cy="1054100"/>
                <wp:effectExtent l="0" t="0" r="0" b="0"/>
                <wp:wrapNone/>
                <wp:docPr id="334917117" name="TextBox 9"/>
                <wp:cNvGraphicFramePr/>
                <a:graphic xmlns:a="http://schemas.openxmlformats.org/drawingml/2006/main">
                  <a:graphicData uri="http://schemas.microsoft.com/office/word/2010/wordprocessingShape">
                    <wps:wsp>
                      <wps:cNvSpPr txBox="1"/>
                      <wps:spPr>
                        <a:xfrm>
                          <a:off x="0" y="0"/>
                          <a:ext cx="3988435" cy="1054100"/>
                        </a:xfrm>
                        <a:prstGeom prst="rect">
                          <a:avLst/>
                        </a:prstGeom>
                        <a:noFill/>
                      </wps:spPr>
                      <wps:txbx>
                        <w:txbxContent>
                          <w:p w14:paraId="1E28C6A7" w14:textId="77777777" w:rsidR="00E16994" w:rsidRPr="00676C63" w:rsidRDefault="00E16994" w:rsidP="00E16994">
                            <w:pPr>
                              <w:spacing w:before="0" w:after="100" w:line="240" w:lineRule="auto"/>
                              <w:rPr>
                                <w:rFonts w:ascii="Aptos" w:eastAsia="Aptos" w:hAnsi="Aptos" w:cs="Aptos"/>
                                <w:b/>
                                <w:bCs/>
                                <w:color w:val="FEC000"/>
                                <w:kern w:val="24"/>
                                <w:sz w:val="24"/>
                                <w:szCs w:val="24"/>
                                <w14:ligatures w14:val="none"/>
                              </w:rPr>
                            </w:pPr>
                            <w:r w:rsidRPr="00676C63">
                              <w:rPr>
                                <w:rFonts w:ascii="Aptos" w:eastAsia="Aptos" w:hAnsi="Aptos" w:cs="Aptos"/>
                                <w:b/>
                                <w:bCs/>
                                <w:color w:val="FEC000"/>
                                <w:kern w:val="24"/>
                                <w:sz w:val="24"/>
                                <w:szCs w:val="24"/>
                              </w:rPr>
                              <w:t>Edge Analytics Ltd</w:t>
                            </w:r>
                          </w:p>
                          <w:p w14:paraId="1D59B243" w14:textId="77777777" w:rsidR="00E16994" w:rsidRPr="00A87E48" w:rsidRDefault="00E16994"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Pr>
                              <w:t>Nexus, Discovery Way</w:t>
                            </w:r>
                          </w:p>
                          <w:p w14:paraId="151873A8" w14:textId="77777777" w:rsidR="00E16994" w:rsidRPr="00A87E48" w:rsidRDefault="00E16994"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Pr>
                              <w:t>University of Leeds, Leeds</w:t>
                            </w:r>
                          </w:p>
                          <w:p w14:paraId="6619BA2A" w14:textId="77777777" w:rsidR="00E16994" w:rsidRPr="00A87E48" w:rsidRDefault="00E16994"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Pr>
                              <w:t>LS2 3AA </w:t>
                            </w:r>
                          </w:p>
                          <w:p w14:paraId="0407B7B3" w14:textId="77777777" w:rsidR="00E16994" w:rsidRPr="00A87E48" w:rsidRDefault="00E16994"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Pr>
                              <w:t>0113 819 5087</w:t>
                            </w:r>
                          </w:p>
                        </w:txbxContent>
                      </wps:txbx>
                      <wps:bodyPr wrap="square">
                        <a:spAutoFit/>
                      </wps:bodyPr>
                    </wps:wsp>
                  </a:graphicData>
                </a:graphic>
                <wp14:sizeRelH relativeFrom="margin">
                  <wp14:pctWidth>0</wp14:pctWidth>
                </wp14:sizeRelH>
              </wp:anchor>
            </w:drawing>
          </mc:Choice>
          <mc:Fallback>
            <w:pict>
              <v:shapetype w14:anchorId="57D11D7C" id="_x0000_t202" coordsize="21600,21600" o:spt="202" path="m,l,21600r21600,l21600,xe">
                <v:stroke joinstyle="miter"/>
                <v:path gradientshapeok="t" o:connecttype="rect"/>
              </v:shapetype>
              <v:shape id="TextBox 9" o:spid="_x0000_s1026" type="#_x0000_t202" style="position:absolute;left:0;text-align:left;margin-left:1.6pt;margin-top:601.15pt;width:314.05pt;height:83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UCeAEAAN8CAAAOAAAAZHJzL2Uyb0RvYy54bWysUstOwzAQvCPxD5bvNOkDVKKmFaiCCwKk&#10;wge4jt1Eir3G6zbp37N2S4vghris7X3Mzs56tuhNy3bKYwO25MNBzpmyEqrGbkr+/vZwNeUMg7CV&#10;aMGqku8V8sX88mLWuUKNoIa2Up4RiMWicyWvQ3BFlqGslRE4AKcsBTV4IwI9/SarvOgI3bTZKM9v&#10;sg585TxIhUje5SHI5wlfayXDi9aoAmtLTtxCsj7ZdbTZfCaKjReubuSRhvgDCyMaS01PUEsRBNv6&#10;5heUaaQHBB0GEkwGWjdSpRlommH+Y5pVLZxKs5A46E4y4f/Byufdyr16Fvp76GmBUZDOYYHkjPP0&#10;2pt4ElNGcZJwf5JN9YFJco5vp9PJ+JozSbFhfj0Z5knY7FzuPIZHBYbFS8k97SXJJXZPGKglpX6l&#10;xG4WHpq2jf4zl3gL/bo/ElxDtSfeHa2u5PixFT4qJYj43TZQeUKNNYfEIxSpmJodNx7X9P2dss7/&#10;cv4JAAD//wMAUEsDBBQABgAIAAAAIQBqEOB93gAAAAsBAAAPAAAAZHJzL2Rvd25yZXYueG1sTI/N&#10;TsMwEITvSLyDtUjcqJNYRFWIU1X8SBy4UMJ9Gy9xRGxHsdukb89ygtvuzGj223q3ulGcaY5D8Bry&#10;TQaCfBfM4HsN7cfL3RZETOgNjsGThgtF2DXXVzVWJiz+nc6H1Asu8bFCDTalqZIydpYcxk2YyLP3&#10;FWaHide5l2bGhcvdKIssK6XDwfMFixM9Wuq+DyenISWzzy/ts4uvn+vb02Kz7h5brW9v1v0DiERr&#10;+gvDLz6jQ8NMx3DyJopRgyo4yHKRFQoEB0qV83BkSZVbBbKp5f8fmh8AAAD//wMAUEsBAi0AFAAG&#10;AAgAAAAhALaDOJL+AAAA4QEAABMAAAAAAAAAAAAAAAAAAAAAAFtDb250ZW50X1R5cGVzXS54bWxQ&#10;SwECLQAUAAYACAAAACEAOP0h/9YAAACUAQAACwAAAAAAAAAAAAAAAAAvAQAAX3JlbHMvLnJlbHNQ&#10;SwECLQAUAAYACAAAACEAg6A1AngBAADfAgAADgAAAAAAAAAAAAAAAAAuAgAAZHJzL2Uyb0RvYy54&#10;bWxQSwECLQAUAAYACAAAACEAahDgfd4AAAALAQAADwAAAAAAAAAAAAAAAADSAwAAZHJzL2Rvd25y&#10;ZXYueG1sUEsFBgAAAAAEAAQA8wAAAN0EAAAAAA==&#10;" filled="f" stroked="f">
                <v:textbox style="mso-fit-shape-to-text:t">
                  <w:txbxContent>
                    <w:p w14:paraId="1E28C6A7" w14:textId="77777777" w:rsidR="00E16994" w:rsidRPr="00676C63" w:rsidRDefault="00E16994" w:rsidP="00E16994">
                      <w:pPr>
                        <w:spacing w:before="0" w:after="100" w:line="240" w:lineRule="auto"/>
                        <w:rPr>
                          <w:rFonts w:ascii="Aptos" w:eastAsia="Aptos" w:hAnsi="Aptos" w:cs="Aptos"/>
                          <w:b/>
                          <w:bCs/>
                          <w:color w:val="FEC000"/>
                          <w:kern w:val="24"/>
                          <w:sz w:val="24"/>
                          <w:szCs w:val="24"/>
                          <w14:ligatures w14:val="none"/>
                        </w:rPr>
                      </w:pPr>
                      <w:r w:rsidRPr="00676C63">
                        <w:rPr>
                          <w:rFonts w:ascii="Aptos" w:eastAsia="Aptos" w:hAnsi="Aptos" w:cs="Aptos"/>
                          <w:b/>
                          <w:bCs/>
                          <w:color w:val="FEC000"/>
                          <w:kern w:val="24"/>
                          <w:sz w:val="24"/>
                          <w:szCs w:val="24"/>
                        </w:rPr>
                        <w:t>Edge Analytics Ltd</w:t>
                      </w:r>
                    </w:p>
                    <w:p w14:paraId="1D59B243" w14:textId="77777777" w:rsidR="00E16994" w:rsidRPr="00A87E48" w:rsidRDefault="00E16994"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Pr>
                        <w:t>Nexus, Discovery Way</w:t>
                      </w:r>
                    </w:p>
                    <w:p w14:paraId="151873A8" w14:textId="77777777" w:rsidR="00E16994" w:rsidRPr="00A87E48" w:rsidRDefault="00E16994"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Pr>
                        <w:t>University of Leeds, Leeds</w:t>
                      </w:r>
                    </w:p>
                    <w:p w14:paraId="6619BA2A" w14:textId="77777777" w:rsidR="00E16994" w:rsidRPr="00A87E48" w:rsidRDefault="00E16994"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Pr>
                        <w:t>LS2 3AA </w:t>
                      </w:r>
                    </w:p>
                    <w:p w14:paraId="0407B7B3" w14:textId="77777777" w:rsidR="00E16994" w:rsidRPr="00A87E48" w:rsidRDefault="00E16994" w:rsidP="00E16994">
                      <w:pPr>
                        <w:spacing w:before="0" w:line="240" w:lineRule="auto"/>
                        <w:rPr>
                          <w:rFonts w:ascii="Aptos" w:eastAsia="Aptos" w:hAnsi="Aptos" w:cs="Aptos"/>
                          <w:color w:val="FFFFFF" w:themeColor="background1"/>
                          <w:kern w:val="24"/>
                          <w:sz w:val="22"/>
                        </w:rPr>
                      </w:pPr>
                      <w:r w:rsidRPr="00A87E48">
                        <w:rPr>
                          <w:rFonts w:ascii="Aptos" w:eastAsia="Aptos" w:hAnsi="Aptos" w:cs="Aptos"/>
                          <w:color w:val="FFFFFF" w:themeColor="background1"/>
                          <w:kern w:val="24"/>
                          <w:sz w:val="22"/>
                        </w:rPr>
                        <w:t>0113 819 5087</w:t>
                      </w:r>
                    </w:p>
                  </w:txbxContent>
                </v:textbox>
              </v:shape>
            </w:pict>
          </mc:Fallback>
        </mc:AlternateContent>
      </w:r>
      <w:r w:rsidR="00CD11D4">
        <w:rPr>
          <w:noProof/>
        </w:rPr>
        <mc:AlternateContent>
          <mc:Choice Requires="wps">
            <w:drawing>
              <wp:anchor distT="0" distB="0" distL="114300" distR="114300" simplePos="0" relativeHeight="251658244" behindDoc="0" locked="0" layoutInCell="1" allowOverlap="1" wp14:anchorId="186132D2" wp14:editId="63E76486">
                <wp:simplePos x="0" y="0"/>
                <wp:positionH relativeFrom="column">
                  <wp:posOffset>3404870</wp:posOffset>
                </wp:positionH>
                <wp:positionV relativeFrom="paragraph">
                  <wp:posOffset>7971628</wp:posOffset>
                </wp:positionV>
                <wp:extent cx="2387600" cy="869950"/>
                <wp:effectExtent l="0" t="0" r="0" b="0"/>
                <wp:wrapNone/>
                <wp:docPr id="14" name="TextBox 13">
                  <a:extLst xmlns:a="http://schemas.openxmlformats.org/drawingml/2006/main">
                    <a:ext uri="{FF2B5EF4-FFF2-40B4-BE49-F238E27FC236}">
                      <a16:creationId xmlns:a16="http://schemas.microsoft.com/office/drawing/2014/main" id="{7AB87AC6-1124-44EE-208A-875B3537CB45}"/>
                    </a:ext>
                  </a:extLst>
                </wp:docPr>
                <wp:cNvGraphicFramePr/>
                <a:graphic xmlns:a="http://schemas.openxmlformats.org/drawingml/2006/main">
                  <a:graphicData uri="http://schemas.microsoft.com/office/word/2010/wordprocessingShape">
                    <wps:wsp>
                      <wps:cNvSpPr txBox="1"/>
                      <wps:spPr>
                        <a:xfrm>
                          <a:off x="0" y="0"/>
                          <a:ext cx="2387600" cy="869950"/>
                        </a:xfrm>
                        <a:prstGeom prst="rect">
                          <a:avLst/>
                        </a:prstGeom>
                        <a:noFill/>
                      </wps:spPr>
                      <wps:txbx>
                        <w:txbxContent>
                          <w:p w14:paraId="3CEB13A1" w14:textId="77777777" w:rsidR="00E16994" w:rsidRPr="00676C63" w:rsidRDefault="008A18AC" w:rsidP="008A18AC">
                            <w:pPr>
                              <w:tabs>
                                <w:tab w:val="center" w:pos="4680"/>
                                <w:tab w:val="right" w:pos="9360"/>
                              </w:tabs>
                              <w:spacing w:before="0" w:after="100" w:line="240" w:lineRule="auto"/>
                              <w:jc w:val="right"/>
                              <w:rPr>
                                <w:rFonts w:ascii="Aptos" w:eastAsia="Aptos" w:hAnsi="Aptos"/>
                                <w:b/>
                                <w:bCs/>
                                <w:color w:val="FEC000"/>
                                <w:kern w:val="24"/>
                                <w:sz w:val="22"/>
                                <w14:ligatures w14:val="none"/>
                              </w:rPr>
                            </w:pPr>
                            <w:hyperlink r:id="rId29" w:history="1">
                              <w:r w:rsidRPr="00676C63">
                                <w:rPr>
                                  <w:rStyle w:val="Hyperlink"/>
                                  <w:rFonts w:ascii="Aptos" w:eastAsia="Aptos" w:hAnsi="Aptos"/>
                                  <w:b/>
                                  <w:bCs/>
                                  <w:color w:val="FEC000"/>
                                  <w:kern w:val="24"/>
                                  <w:sz w:val="22"/>
                                  <w:u w:val="none"/>
                                </w:rPr>
                                <w:t>www.edgeanalytics.co.uk</w:t>
                              </w:r>
                            </w:hyperlink>
                            <w:r w:rsidRPr="00676C63">
                              <w:rPr>
                                <w:rFonts w:ascii="Aptos" w:eastAsia="Aptos" w:hAnsi="Aptos"/>
                                <w:b/>
                                <w:bCs/>
                                <w:color w:val="FEC000"/>
                                <w:kern w:val="24"/>
                                <w:sz w:val="22"/>
                              </w:rPr>
                              <w:t xml:space="preserve"> </w:t>
                            </w:r>
                          </w:p>
                          <w:p w14:paraId="215CD8B6" w14:textId="77777777" w:rsidR="00E16994" w:rsidRPr="00A87E48" w:rsidRDefault="00E16994" w:rsidP="00CD11D4">
                            <w:pPr>
                              <w:tabs>
                                <w:tab w:val="center" w:pos="4680"/>
                                <w:tab w:val="right" w:pos="9360"/>
                              </w:tabs>
                              <w:spacing w:before="0" w:line="240" w:lineRule="auto"/>
                              <w:jc w:val="right"/>
                              <w:rPr>
                                <w:rFonts w:ascii="Aptos" w:eastAsia="Aptos" w:hAnsi="Aptos"/>
                                <w:color w:val="FFFFFF" w:themeColor="background1"/>
                                <w:kern w:val="24"/>
                                <w:sz w:val="22"/>
                              </w:rPr>
                            </w:pPr>
                            <w:r w:rsidRPr="00A87E48">
                              <w:rPr>
                                <w:rFonts w:ascii="Aptos" w:eastAsia="Aptos" w:hAnsi="Aptos"/>
                                <w:color w:val="FFFFFF" w:themeColor="background1"/>
                                <w:kern w:val="24"/>
                                <w:sz w:val="22"/>
                              </w:rPr>
                              <w:t xml:space="preserve">Registered in England  </w:t>
                            </w:r>
                          </w:p>
                          <w:p w14:paraId="01F29410" w14:textId="77777777" w:rsidR="00E16994" w:rsidRPr="00A87E48" w:rsidRDefault="00E16994" w:rsidP="008A18AC">
                            <w:pPr>
                              <w:tabs>
                                <w:tab w:val="center" w:pos="4680"/>
                                <w:tab w:val="right" w:pos="9360"/>
                              </w:tabs>
                              <w:spacing w:before="0" w:line="240" w:lineRule="auto"/>
                              <w:jc w:val="right"/>
                              <w:rPr>
                                <w:rFonts w:ascii="Aptos" w:eastAsia="Aptos" w:hAnsi="Aptos"/>
                                <w:color w:val="FFFFFF" w:themeColor="background1"/>
                                <w:kern w:val="24"/>
                                <w:sz w:val="22"/>
                              </w:rPr>
                            </w:pPr>
                            <w:r w:rsidRPr="00A87E48">
                              <w:rPr>
                                <w:rFonts w:ascii="Aptos" w:eastAsia="Aptos" w:hAnsi="Aptos"/>
                                <w:color w:val="FFFFFF" w:themeColor="background1"/>
                                <w:kern w:val="24"/>
                                <w:sz w:val="22"/>
                              </w:rPr>
                              <w:t>Registration Number 05478834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86132D2" id="TextBox 13" o:spid="_x0000_s1027" type="#_x0000_t202" style="position:absolute;left:0;text-align:left;margin-left:268.1pt;margin-top:627.7pt;width:188pt;height:6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5xeAEAAOUCAAAOAAAAZHJzL2Uyb0RvYy54bWysUsFOwzAMvSPxD1HurGWIsVXrEGiCCwIk&#10;4AOyNFkjNXGIs7X7e5wwNgQ3xMVNbOf5+b3Orwfbsa0KaMDV/HxUcqachMa4dc3fXu/OppxhFK4R&#10;HThV851Cfr04PZn3vlJjaKFrVGAE4rDqfc3bGH1VFChbZQWOwCtHRQ3BikjXsC6aIHpCt10xLstJ&#10;0UNofACpECm7/CzyRcbXWsn4pDWqyLqaE7eYY8hxlWKxmItqHYRvjdzTEH9gYYVxNPQAtRRRsE0w&#10;v6CskQEQdBxJsAVobaTKO9A25+WPbV5a4VXehcRBf5AJ/w9WPm5f/HNgcbiFgQxMgvQeK6Rk2mfQ&#10;waYvMWVUJwl3B9nUEJmk5PhiejUpqSSpNp3MZpdZ1+L42geM9wosS4eaB7IlqyW2DxhpIrV+taRh&#10;Du5M16X8kUo6xWE1MNN8o7mCZkfsezKw5vi+ESHplRBuNhG0yeDp6WfjHpG0zDP3viezvt9z1/Hv&#10;XHwAAAD//wMAUEsDBBQABgAIAAAAIQBwcLLy4AAAAA0BAAAPAAAAZHJzL2Rvd25yZXYueG1sTI/B&#10;TsMwEETvSPyDtUjcqN00qUiIUyEQVxAFKvXmxtskIl5HsduEv2c50ePOPM3OlJvZ9eKMY+g8aVgu&#10;FAik2tuOGg2fHy939yBCNGRN7wk1/GCATXV9VZrC+one8byNjeAQCoXR0MY4FFKGukVnwsIPSOwd&#10;/ehM5HNspB3NxOGul4lSa+lMR/yhNQM+tVh/b09Ow9frcb9L1Vvz7LJh8rOS5HKp9e3N/PgAIuIc&#10;/2H4q8/VoeJOB38iG0SvIVutE0bZSLIsBcFIvkxYOrC0ypMUZFXKyxXVLwAAAP//AwBQSwECLQAU&#10;AAYACAAAACEAtoM4kv4AAADhAQAAEwAAAAAAAAAAAAAAAAAAAAAAW0NvbnRlbnRfVHlwZXNdLnht&#10;bFBLAQItABQABgAIAAAAIQA4/SH/1gAAAJQBAAALAAAAAAAAAAAAAAAAAC8BAABfcmVscy8ucmVs&#10;c1BLAQItABQABgAIAAAAIQC1H85xeAEAAOUCAAAOAAAAAAAAAAAAAAAAAC4CAABkcnMvZTJvRG9j&#10;LnhtbFBLAQItABQABgAIAAAAIQBwcLLy4AAAAA0BAAAPAAAAAAAAAAAAAAAAANIDAABkcnMvZG93&#10;bnJldi54bWxQSwUGAAAAAAQABADzAAAA3wQAAAAA&#10;" filled="f" stroked="f">
                <v:textbox>
                  <w:txbxContent>
                    <w:p w14:paraId="3CEB13A1" w14:textId="77777777" w:rsidR="00E16994" w:rsidRPr="00676C63" w:rsidRDefault="008A18AC" w:rsidP="008A18AC">
                      <w:pPr>
                        <w:tabs>
                          <w:tab w:val="center" w:pos="4680"/>
                          <w:tab w:val="right" w:pos="9360"/>
                        </w:tabs>
                        <w:spacing w:before="0" w:after="100" w:line="240" w:lineRule="auto"/>
                        <w:jc w:val="right"/>
                        <w:rPr>
                          <w:rFonts w:ascii="Aptos" w:eastAsia="Aptos" w:hAnsi="Aptos"/>
                          <w:b/>
                          <w:bCs/>
                          <w:color w:val="FEC000"/>
                          <w:kern w:val="24"/>
                          <w:sz w:val="22"/>
                          <w14:ligatures w14:val="none"/>
                        </w:rPr>
                      </w:pPr>
                      <w:hyperlink r:id="rId30" w:history="1">
                        <w:r w:rsidRPr="00676C63">
                          <w:rPr>
                            <w:rStyle w:val="Hyperlink"/>
                            <w:rFonts w:ascii="Aptos" w:eastAsia="Aptos" w:hAnsi="Aptos"/>
                            <w:b/>
                            <w:bCs/>
                            <w:color w:val="FEC000"/>
                            <w:kern w:val="24"/>
                            <w:sz w:val="22"/>
                            <w:u w:val="none"/>
                          </w:rPr>
                          <w:t>www.edgeanalytics.co.uk</w:t>
                        </w:r>
                      </w:hyperlink>
                      <w:r w:rsidRPr="00676C63">
                        <w:rPr>
                          <w:rFonts w:ascii="Aptos" w:eastAsia="Aptos" w:hAnsi="Aptos"/>
                          <w:b/>
                          <w:bCs/>
                          <w:color w:val="FEC000"/>
                          <w:kern w:val="24"/>
                          <w:sz w:val="22"/>
                        </w:rPr>
                        <w:t xml:space="preserve"> </w:t>
                      </w:r>
                    </w:p>
                    <w:p w14:paraId="215CD8B6" w14:textId="77777777" w:rsidR="00E16994" w:rsidRPr="00A87E48" w:rsidRDefault="00E16994" w:rsidP="00CD11D4">
                      <w:pPr>
                        <w:tabs>
                          <w:tab w:val="center" w:pos="4680"/>
                          <w:tab w:val="right" w:pos="9360"/>
                        </w:tabs>
                        <w:spacing w:before="0" w:line="240" w:lineRule="auto"/>
                        <w:jc w:val="right"/>
                        <w:rPr>
                          <w:rFonts w:ascii="Aptos" w:eastAsia="Aptos" w:hAnsi="Aptos"/>
                          <w:color w:val="FFFFFF" w:themeColor="background1"/>
                          <w:kern w:val="24"/>
                          <w:sz w:val="22"/>
                        </w:rPr>
                      </w:pPr>
                      <w:r w:rsidRPr="00A87E48">
                        <w:rPr>
                          <w:rFonts w:ascii="Aptos" w:eastAsia="Aptos" w:hAnsi="Aptos"/>
                          <w:color w:val="FFFFFF" w:themeColor="background1"/>
                          <w:kern w:val="24"/>
                          <w:sz w:val="22"/>
                        </w:rPr>
                        <w:t xml:space="preserve">Registered in England  </w:t>
                      </w:r>
                    </w:p>
                    <w:p w14:paraId="01F29410" w14:textId="77777777" w:rsidR="00E16994" w:rsidRPr="00A87E48" w:rsidRDefault="00E16994" w:rsidP="008A18AC">
                      <w:pPr>
                        <w:tabs>
                          <w:tab w:val="center" w:pos="4680"/>
                          <w:tab w:val="right" w:pos="9360"/>
                        </w:tabs>
                        <w:spacing w:before="0" w:line="240" w:lineRule="auto"/>
                        <w:jc w:val="right"/>
                        <w:rPr>
                          <w:rFonts w:ascii="Aptos" w:eastAsia="Aptos" w:hAnsi="Aptos"/>
                          <w:color w:val="FFFFFF" w:themeColor="background1"/>
                          <w:kern w:val="24"/>
                          <w:sz w:val="22"/>
                        </w:rPr>
                      </w:pPr>
                      <w:r w:rsidRPr="00A87E48">
                        <w:rPr>
                          <w:rFonts w:ascii="Aptos" w:eastAsia="Aptos" w:hAnsi="Aptos"/>
                          <w:color w:val="FFFFFF" w:themeColor="background1"/>
                          <w:kern w:val="24"/>
                          <w:sz w:val="22"/>
                        </w:rPr>
                        <w:t>Registration Number 05478834</w:t>
                      </w:r>
                    </w:p>
                  </w:txbxContent>
                </v:textbox>
              </v:shape>
            </w:pict>
          </mc:Fallback>
        </mc:AlternateContent>
      </w:r>
      <w:r w:rsidR="00315CE6">
        <w:rPr>
          <w:noProof/>
        </w:rPr>
        <mc:AlternateContent>
          <mc:Choice Requires="wps">
            <w:drawing>
              <wp:anchor distT="0" distB="0" distL="114300" distR="114300" simplePos="0" relativeHeight="251658240" behindDoc="0" locked="0" layoutInCell="1" allowOverlap="1" wp14:anchorId="3F085866" wp14:editId="3E34143A">
                <wp:simplePos x="0" y="0"/>
                <wp:positionH relativeFrom="column">
                  <wp:posOffset>-358775</wp:posOffset>
                </wp:positionH>
                <wp:positionV relativeFrom="paragraph">
                  <wp:posOffset>7809230</wp:posOffset>
                </wp:positionV>
                <wp:extent cx="2210435" cy="1054100"/>
                <wp:effectExtent l="0" t="0" r="0" b="0"/>
                <wp:wrapNone/>
                <wp:docPr id="10" name="TextBox 9">
                  <a:extLst xmlns:a="http://schemas.openxmlformats.org/drawingml/2006/main">
                    <a:ext uri="{FF2B5EF4-FFF2-40B4-BE49-F238E27FC236}">
                      <a16:creationId xmlns:a16="http://schemas.microsoft.com/office/drawing/2014/main" id="{56631D2D-7B0E-AFA8-AF47-A73A96249BBC}"/>
                    </a:ext>
                  </a:extLst>
                </wp:docPr>
                <wp:cNvGraphicFramePr/>
                <a:graphic xmlns:a="http://schemas.openxmlformats.org/drawingml/2006/main">
                  <a:graphicData uri="http://schemas.microsoft.com/office/word/2010/wordprocessingShape">
                    <wps:wsp>
                      <wps:cNvSpPr txBox="1"/>
                      <wps:spPr>
                        <a:xfrm>
                          <a:off x="0" y="0"/>
                          <a:ext cx="2210435" cy="1054100"/>
                        </a:xfrm>
                        <a:prstGeom prst="rect">
                          <a:avLst/>
                        </a:prstGeom>
                        <a:noFill/>
                      </wps:spPr>
                      <wps:txbx>
                        <w:txbxContent>
                          <w:p w14:paraId="39FB3AED" w14:textId="77777777" w:rsidR="00800D59" w:rsidRPr="00807DC4" w:rsidRDefault="00800D59" w:rsidP="0035255C">
                            <w:pPr>
                              <w:spacing w:before="0" w:line="240" w:lineRule="auto"/>
                              <w:rPr>
                                <w:rFonts w:ascii="Aptos" w:eastAsia="Aptos" w:hAnsi="Aptos" w:cs="Aptos"/>
                                <w:color w:val="144166"/>
                                <w:kern w:val="24"/>
                                <w:sz w:val="22"/>
                              </w:rPr>
                            </w:pPr>
                          </w:p>
                        </w:txbxContent>
                      </wps:txbx>
                      <wps:bodyPr wrap="square">
                        <a:spAutoFit/>
                      </wps:bodyPr>
                    </wps:wsp>
                  </a:graphicData>
                </a:graphic>
                <wp14:sizeRelH relativeFrom="margin">
                  <wp14:pctWidth>0</wp14:pctWidth>
                </wp14:sizeRelH>
              </wp:anchor>
            </w:drawing>
          </mc:Choice>
          <mc:Fallback>
            <w:pict>
              <v:shape w14:anchorId="3F085866" id="_x0000_s1028" type="#_x0000_t202" style="position:absolute;left:0;text-align:left;margin-left:-28.25pt;margin-top:614.9pt;width:174.05pt;height:83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dxewEAAOYCAAAOAAAAZHJzL2Uyb0RvYy54bWysUsFOwzAMvSPxD1HurO1gCFXrEAjBBQES&#10;8AFZmqyRmjjE2dr9PU42NgQ3xMVNbOf5+b3Or0fbs40KaMA1vJqUnCknoTVu1fD3t/uzK84wCteK&#10;Hpxq+FYhv16cnswHX6spdNC3KjACcVgPvuFdjL4uCpSdsgIn4JWjooZgRaRrWBVtEAOh276YluVl&#10;MUBofQCpECl7tyvyRcbXWsn4rDWqyPqGE7eYY8hxmWKxmIt6FYTvjNzTEH9gYYVxNPQAdSeiYOtg&#10;fkFZIwMg6DiRYAvQ2kiVd6BtqvLHNq+d8CrvQuKgP8iE/wcrnzav/iWwON7CSAYmQQaPNVIy7TPq&#10;YNOXmDKqk4Tbg2xqjExScjqtyovzGWeSalU5u6jKLGxxfO4DxgcFlqVDwwP5kuUSm0eMNJJav1rS&#10;NAf3pu9T/sglneK4HJlpaeQXzyW0W6I/kIMNx4+1CEkwQfxv1pFQMnh6umvcI5KYeebe+OTW93vu&#10;Ov6ei08AAAD//wMAUEsDBBQABgAIAAAAIQBMWHX04AAAAA0BAAAPAAAAZHJzL2Rvd25yZXYueG1s&#10;TI/NboMwEITvlfoO1lbqLTFQgQLFRFF/pBx6aULvG7wFVGwj7ATy9tme2uPOfJqdKbeLGcSFJt87&#10;qyBeRyDINk73tlVQH99XGxA+oNU4OEsKruRhW93flVhoN9tPuhxCKzjE+gIVdCGMhZS+6cigX7uR&#10;LHvfbjIY+JxaqSecOdwMMomiTBrsLX/ocKSXjpqfw9koCEHv4mv9Zvz+a/l4nbuoSbFW6vFh2T2D&#10;CLSEPxh+63N1qLjTyZ2t9mJQsEqzlFE2kiTnEYwkeZyBOLH0lKcbkFUp/6+obgAAAP//AwBQSwEC&#10;LQAUAAYACAAAACEAtoM4kv4AAADhAQAAEwAAAAAAAAAAAAAAAAAAAAAAW0NvbnRlbnRfVHlwZXNd&#10;LnhtbFBLAQItABQABgAIAAAAIQA4/SH/1gAAAJQBAAALAAAAAAAAAAAAAAAAAC8BAABfcmVscy8u&#10;cmVsc1BLAQItABQABgAIAAAAIQAKAjdxewEAAOYCAAAOAAAAAAAAAAAAAAAAAC4CAABkcnMvZTJv&#10;RG9jLnhtbFBLAQItABQABgAIAAAAIQBMWHX04AAAAA0BAAAPAAAAAAAAAAAAAAAAANUDAABkcnMv&#10;ZG93bnJldi54bWxQSwUGAAAAAAQABADzAAAA4gQAAAAA&#10;" filled="f" stroked="f">
                <v:textbox style="mso-fit-shape-to-text:t">
                  <w:txbxContent>
                    <w:p w14:paraId="39FB3AED" w14:textId="77777777" w:rsidR="00800D59" w:rsidRPr="00807DC4" w:rsidRDefault="00800D59" w:rsidP="0035255C">
                      <w:pPr>
                        <w:spacing w:before="0" w:line="240" w:lineRule="auto"/>
                        <w:rPr>
                          <w:rFonts w:ascii="Aptos" w:eastAsia="Aptos" w:hAnsi="Aptos" w:cs="Aptos"/>
                          <w:color w:val="144166"/>
                          <w:kern w:val="24"/>
                          <w:sz w:val="22"/>
                        </w:rPr>
                      </w:pPr>
                    </w:p>
                  </w:txbxContent>
                </v:textbox>
              </v:shape>
            </w:pict>
          </mc:Fallback>
        </mc:AlternateContent>
      </w:r>
    </w:p>
    <w:sectPr w:rsidR="00612CAB" w:rsidRPr="00612CAB" w:rsidSect="00FF1BC9">
      <w:headerReference w:type="default" r:id="rId31"/>
      <w:footerReference w:type="default" r:id="rId3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C2598" w14:textId="77777777" w:rsidR="00E6031B" w:rsidRDefault="00E6031B" w:rsidP="00192E85">
      <w:pPr>
        <w:spacing w:line="240" w:lineRule="auto"/>
      </w:pPr>
      <w:r>
        <w:separator/>
      </w:r>
    </w:p>
  </w:endnote>
  <w:endnote w:type="continuationSeparator" w:id="0">
    <w:p w14:paraId="0D0C71A1" w14:textId="77777777" w:rsidR="00E6031B" w:rsidRDefault="00E6031B" w:rsidP="00192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201F4C11-880E-40E9-BAF5-CFE9FCAFDE6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F7D66C1F-C0E1-48EC-AE3D-8420A5312FE5}"/>
    <w:embedBold r:id="rId3" w:fontKey="{BD74BEA6-CC5A-455D-861D-86B85EE9391E}"/>
    <w:embedItalic r:id="rId4" w:fontKey="{0518B7BB-8E55-490B-B5DF-F9D0B651774F}"/>
    <w:embedBoldItalic r:id="rId5" w:fontKey="{1239C494-62E8-49B4-A0F2-7490F363B0BF}"/>
  </w:font>
  <w:font w:name="Aptos Display">
    <w:charset w:val="00"/>
    <w:family w:val="swiss"/>
    <w:pitch w:val="variable"/>
    <w:sig w:usb0="20000287" w:usb1="00000003" w:usb2="00000000" w:usb3="00000000" w:csb0="0000019F" w:csb1="00000000"/>
    <w:embedRegular r:id="rId6" w:fontKey="{B4EE2ABF-7E7E-49F0-BD94-38EBDCBA0FB4}"/>
  </w:font>
  <w:font w:name="Calibri">
    <w:panose1 w:val="020F0502020204030204"/>
    <w:charset w:val="00"/>
    <w:family w:val="swiss"/>
    <w:pitch w:val="variable"/>
    <w:sig w:usb0="E4002EFF" w:usb1="C200247B" w:usb2="00000009" w:usb3="00000000" w:csb0="000001FF" w:csb1="00000000"/>
    <w:embedRegular r:id="rId7" w:fontKey="{8357ADD6-C987-48CE-9B47-321ED07A2C79}"/>
  </w:font>
  <w:font w:name="+mn-ea">
    <w:panose1 w:val="00000000000000000000"/>
    <w:charset w:val="00"/>
    <w:family w:val="roman"/>
    <w:notTrueType/>
    <w:pitch w:val="default"/>
  </w:font>
  <w:font w:name="+mn-c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567A" w14:textId="77777777" w:rsidR="00192E85" w:rsidRPr="001C78D4" w:rsidRDefault="00192E85" w:rsidP="00192E85">
    <w:pPr>
      <w:pStyle w:val="Footer"/>
      <w:pBdr>
        <w:top w:val="single" w:sz="4" w:space="1" w:color="52A3CB"/>
      </w:pBdr>
      <w:jc w:val="right"/>
      <w:rPr>
        <w:sz w:val="6"/>
        <w:szCs w:val="6"/>
      </w:rPr>
    </w:pPr>
  </w:p>
  <w:p w14:paraId="76BD5E82" w14:textId="77777777" w:rsidR="00192E85" w:rsidRDefault="00192E85" w:rsidP="00192E85">
    <w:pPr>
      <w:pStyle w:val="Footer"/>
      <w:pBdr>
        <w:top w:val="single" w:sz="4" w:space="1" w:color="52A3CB"/>
      </w:pBdr>
      <w:jc w:val="right"/>
    </w:pPr>
    <w:r>
      <w:rPr>
        <w:noProof/>
      </w:rPr>
      <w:drawing>
        <wp:inline distT="0" distB="0" distL="0" distR="0" wp14:anchorId="75A56505" wp14:editId="6521572B">
          <wp:extent cx="782609" cy="360000"/>
          <wp:effectExtent l="0" t="0" r="0" b="2540"/>
          <wp:docPr id="36704138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35425" name="Picture 1"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609" cy="360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DCD34" w14:textId="05460615" w:rsidR="00312427" w:rsidRPr="00D65D7A" w:rsidRDefault="00997878" w:rsidP="00D65D7A">
    <w:pPr>
      <w:spacing w:after="300"/>
      <w:rPr>
        <w:color w:val="595959" w:themeColor="text1" w:themeTint="A6"/>
        <w:sz w:val="19"/>
        <w:szCs w:val="19"/>
      </w:rPr>
    </w:pPr>
    <w:r>
      <w:rPr>
        <w:noProof/>
      </w:rPr>
      <w:drawing>
        <wp:anchor distT="0" distB="0" distL="114300" distR="114300" simplePos="0" relativeHeight="251658240" behindDoc="0" locked="0" layoutInCell="1" allowOverlap="1" wp14:anchorId="4B19EB41" wp14:editId="7FA43AD2">
          <wp:simplePos x="0" y="0"/>
          <wp:positionH relativeFrom="column">
            <wp:posOffset>5085715</wp:posOffset>
          </wp:positionH>
          <wp:positionV relativeFrom="paragraph">
            <wp:posOffset>31115</wp:posOffset>
          </wp:positionV>
          <wp:extent cx="625492" cy="288000"/>
          <wp:effectExtent l="0" t="0" r="3175" b="0"/>
          <wp:wrapNone/>
          <wp:docPr id="2071707617" name="Graphic 10">
            <a:extLst xmlns:a="http://schemas.openxmlformats.org/drawingml/2006/main">
              <a:ext uri="{FF2B5EF4-FFF2-40B4-BE49-F238E27FC236}">
                <a16:creationId xmlns:a16="http://schemas.microsoft.com/office/drawing/2014/main" id="{58AE8553-7198-C9C0-A755-2CB316398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58AE8553-7198-C9C0-A755-2CB31639814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5492" cy="288000"/>
                  </a:xfrm>
                  <a:prstGeom prst="rect">
                    <a:avLst/>
                  </a:prstGeom>
                </pic:spPr>
              </pic:pic>
            </a:graphicData>
          </a:graphic>
          <wp14:sizeRelH relativeFrom="margin">
            <wp14:pctWidth>0</wp14:pctWidth>
          </wp14:sizeRelH>
          <wp14:sizeRelV relativeFrom="margin">
            <wp14:pctHeight>0</wp14:pctHeight>
          </wp14:sizeRelV>
        </wp:anchor>
      </w:drawing>
    </w:r>
    <w:r w:rsidR="00D91225">
      <w:rPr>
        <w:color w:val="595959" w:themeColor="text1" w:themeTint="A6"/>
        <w:sz w:val="19"/>
        <w:szCs w:val="19"/>
      </w:rPr>
      <w:t>J</w:t>
    </w:r>
    <w:r w:rsidR="00B424F9">
      <w:rPr>
        <w:color w:val="595959" w:themeColor="text1" w:themeTint="A6"/>
        <w:sz w:val="19"/>
        <w:szCs w:val="19"/>
      </w:rPr>
      <w:t>anuary</w:t>
    </w:r>
    <w:r w:rsidR="003134C6" w:rsidRPr="00D65D7A">
      <w:rPr>
        <w:color w:val="595959" w:themeColor="text1" w:themeTint="A6"/>
        <w:sz w:val="19"/>
        <w:szCs w:val="19"/>
      </w:rPr>
      <w:t xml:space="preserve"> 202</w:t>
    </w:r>
    <w:r w:rsidR="00B424F9">
      <w:rPr>
        <w:color w:val="595959" w:themeColor="text1" w:themeTint="A6"/>
        <w:sz w:val="19"/>
        <w:szCs w:val="19"/>
      </w:rPr>
      <w:t>6</w:t>
    </w:r>
    <w:r w:rsidR="003134C6" w:rsidRPr="00D65D7A">
      <w:rPr>
        <w:noProof/>
        <w:color w:val="595959" w:themeColor="text1" w:themeTint="A6"/>
        <w:sz w:val="19"/>
        <w:szCs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3066" w14:textId="77777777" w:rsidR="00312427" w:rsidRDefault="003124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1B0A3" w14:textId="77777777" w:rsidR="00F06713" w:rsidRDefault="00F06713" w:rsidP="00F067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01F91" w14:textId="77777777" w:rsidR="00E6031B" w:rsidRDefault="00E6031B" w:rsidP="00192E85">
      <w:pPr>
        <w:spacing w:line="240" w:lineRule="auto"/>
      </w:pPr>
      <w:r>
        <w:separator/>
      </w:r>
    </w:p>
  </w:footnote>
  <w:footnote w:type="continuationSeparator" w:id="0">
    <w:p w14:paraId="4E9D4F31" w14:textId="77777777" w:rsidR="00E6031B" w:rsidRDefault="00E6031B" w:rsidP="00192E85">
      <w:pPr>
        <w:spacing w:line="240" w:lineRule="auto"/>
      </w:pPr>
      <w:r>
        <w:continuationSeparator/>
      </w:r>
    </w:p>
  </w:footnote>
  <w:footnote w:id="1">
    <w:p w14:paraId="0FD80B15" w14:textId="77777777" w:rsidR="000B67C2" w:rsidRDefault="000B67C2" w:rsidP="00386884">
      <w:pPr>
        <w:pStyle w:val="Footnotes"/>
      </w:pPr>
      <w:r>
        <w:rPr>
          <w:rStyle w:val="FootnoteReference"/>
        </w:rPr>
        <w:footnoteRef/>
      </w:r>
      <w:r>
        <w:t xml:space="preserve"> Carmarthenshire County Council </w:t>
      </w:r>
      <w:hyperlink r:id="rId1" w:history="1">
        <w:r w:rsidRPr="008D1BA5">
          <w:rPr>
            <w:rStyle w:val="Hyperlink"/>
          </w:rPr>
          <w:t>Preferred Strategy</w:t>
        </w:r>
      </w:hyperlink>
    </w:p>
  </w:footnote>
  <w:footnote w:id="2">
    <w:p w14:paraId="2564C396" w14:textId="77777777" w:rsidR="00C5626B" w:rsidRDefault="00C5626B" w:rsidP="00386884">
      <w:pPr>
        <w:pStyle w:val="Footnotes"/>
      </w:pPr>
      <w:r>
        <w:rPr>
          <w:rStyle w:val="FootnoteReference"/>
        </w:rPr>
        <w:footnoteRef/>
      </w:r>
      <w:r>
        <w:t xml:space="preserve"> Carmarthenshire County Council (February 2023) </w:t>
      </w:r>
      <w:hyperlink r:id="rId2" w:history="1">
        <w:r>
          <w:rPr>
            <w:rStyle w:val="Hyperlink"/>
          </w:rPr>
          <w:t>2nd Deposit LDP Written Statement</w:t>
        </w:r>
      </w:hyperlink>
      <w:r>
        <w:tab/>
      </w:r>
    </w:p>
  </w:footnote>
  <w:footnote w:id="3">
    <w:p w14:paraId="5193B4F1" w14:textId="4861AB61" w:rsidR="00C5626B" w:rsidRDefault="00C5626B" w:rsidP="007E1418">
      <w:pPr>
        <w:pStyle w:val="Footnotes"/>
      </w:pPr>
      <w:r>
        <w:rPr>
          <w:rStyle w:val="FootnoteReference"/>
        </w:rPr>
        <w:footnoteRef/>
      </w:r>
      <w:r>
        <w:t xml:space="preserve"> </w:t>
      </w:r>
      <w:r w:rsidR="00386884">
        <w:t xml:space="preserve">Carmarthenshire County Council (February 2023) </w:t>
      </w:r>
      <w:hyperlink r:id="rId3" w:history="1">
        <w:r w:rsidR="00386884" w:rsidRPr="00386884">
          <w:rPr>
            <w:rStyle w:val="Hyperlink"/>
          </w:rPr>
          <w:t>Topic Paper Population and Household Projections</w:t>
        </w:r>
      </w:hyperlink>
    </w:p>
  </w:footnote>
  <w:footnote w:id="4">
    <w:p w14:paraId="5CD202B1" w14:textId="77777777" w:rsidR="00BA10E4" w:rsidRPr="0080214F" w:rsidRDefault="00BA10E4" w:rsidP="0080214F">
      <w:pPr>
        <w:pStyle w:val="FootnoteText"/>
        <w:spacing w:before="0"/>
        <w:rPr>
          <w:sz w:val="17"/>
          <w:szCs w:val="17"/>
        </w:rPr>
      </w:pPr>
      <w:r w:rsidRPr="0080214F">
        <w:rPr>
          <w:rStyle w:val="FootnoteReference"/>
          <w:sz w:val="17"/>
          <w:szCs w:val="17"/>
        </w:rPr>
        <w:footnoteRef/>
      </w:r>
      <w:r w:rsidRPr="0080214F">
        <w:rPr>
          <w:sz w:val="17"/>
          <w:szCs w:val="17"/>
        </w:rPr>
        <w:t xml:space="preserve"> </w:t>
      </w:r>
      <w:r w:rsidRPr="00D43AEE">
        <w:rPr>
          <w:rStyle w:val="FootnotesChar"/>
        </w:rPr>
        <w:t xml:space="preserve">ONS </w:t>
      </w:r>
      <w:hyperlink r:id="rId4" w:history="1">
        <w:r w:rsidRPr="0080214F">
          <w:rPr>
            <w:rStyle w:val="Hyperlink"/>
            <w:sz w:val="17"/>
            <w:szCs w:val="17"/>
          </w:rPr>
          <w:t>National population projections, fertility assumptions: 2022-based</w:t>
        </w:r>
      </w:hyperlink>
    </w:p>
  </w:footnote>
  <w:footnote w:id="5">
    <w:p w14:paraId="56BDA8B3" w14:textId="5473E740" w:rsidR="00BB3F49" w:rsidRDefault="00BB3F49" w:rsidP="0080214F">
      <w:pPr>
        <w:pStyle w:val="FootnoteText"/>
        <w:spacing w:before="0"/>
      </w:pPr>
      <w:r w:rsidRPr="0080214F">
        <w:rPr>
          <w:rStyle w:val="FootnoteReference"/>
          <w:sz w:val="17"/>
          <w:szCs w:val="17"/>
        </w:rPr>
        <w:footnoteRef/>
      </w:r>
      <w:r>
        <w:t xml:space="preserve"> </w:t>
      </w:r>
      <w:r w:rsidRPr="000713B6">
        <w:rPr>
          <w:rStyle w:val="FootnotesChar"/>
        </w:rPr>
        <w:t xml:space="preserve">WG </w:t>
      </w:r>
      <w:hyperlink r:id="rId5" w:history="1">
        <w:r w:rsidRPr="0080214F">
          <w:rPr>
            <w:rStyle w:val="Hyperlink"/>
            <w:sz w:val="17"/>
            <w:szCs w:val="17"/>
          </w:rPr>
          <w:t>Local authority population projections 2022-based</w:t>
        </w:r>
      </w:hyperlink>
    </w:p>
  </w:footnote>
  <w:footnote w:id="6">
    <w:p w14:paraId="27075D4E" w14:textId="77777777" w:rsidR="00DF234A" w:rsidRDefault="00DF234A" w:rsidP="0080214F">
      <w:pPr>
        <w:pStyle w:val="Footnotes"/>
      </w:pPr>
      <w:r w:rsidRPr="0016377E">
        <w:rPr>
          <w:rStyle w:val="FootnoteReference"/>
        </w:rPr>
        <w:footnoteRef/>
      </w:r>
      <w:r w:rsidRPr="0016377E">
        <w:t xml:space="preserve"> </w:t>
      </w:r>
      <w:r w:rsidRPr="003A65CD">
        <w:rPr>
          <w:rStyle w:val="FootnotesChar"/>
        </w:rPr>
        <w:t xml:space="preserve">ONS (Nov 2024) </w:t>
      </w:r>
      <w:hyperlink r:id="rId6" w:history="1">
        <w:r w:rsidRPr="003A65CD">
          <w:rPr>
            <w:rStyle w:val="Hyperlink"/>
          </w:rPr>
          <w:t>Long-term international migration, provisional: year ending June 2024</w:t>
        </w:r>
      </w:hyperlink>
    </w:p>
  </w:footnote>
  <w:footnote w:id="7">
    <w:p w14:paraId="47819041" w14:textId="77777777" w:rsidR="009003AC" w:rsidRPr="00A61384" w:rsidRDefault="009003AC" w:rsidP="0016377E">
      <w:pPr>
        <w:pStyle w:val="Footnotes"/>
        <w:rPr>
          <w:szCs w:val="17"/>
        </w:rPr>
      </w:pPr>
      <w:r w:rsidRPr="00A61384">
        <w:rPr>
          <w:rStyle w:val="FootnoteReference"/>
          <w:szCs w:val="17"/>
        </w:rPr>
        <w:footnoteRef/>
      </w:r>
      <w:r w:rsidRPr="00A61384">
        <w:rPr>
          <w:szCs w:val="17"/>
        </w:rPr>
        <w:t xml:space="preserve"> </w:t>
      </w:r>
      <w:r w:rsidRPr="00A61384">
        <w:rPr>
          <w:rStyle w:val="FootnotesChar"/>
          <w:szCs w:val="17"/>
        </w:rPr>
        <w:t xml:space="preserve">ONS (Nov 2023) </w:t>
      </w:r>
      <w:hyperlink r:id="rId7" w:history="1">
        <w:r w:rsidRPr="00A61384">
          <w:rPr>
            <w:rStyle w:val="Hyperlink"/>
            <w:szCs w:val="17"/>
          </w:rPr>
          <w:t>Long-term international migration, provisional: year ending June 2023</w:t>
        </w:r>
      </w:hyperlink>
    </w:p>
  </w:footnote>
  <w:footnote w:id="8">
    <w:p w14:paraId="330971B1" w14:textId="77777777" w:rsidR="00653845" w:rsidRPr="00A61384" w:rsidRDefault="00653845" w:rsidP="00653845">
      <w:pPr>
        <w:pStyle w:val="Footnotes"/>
        <w:rPr>
          <w:szCs w:val="17"/>
        </w:rPr>
      </w:pPr>
      <w:r w:rsidRPr="00A61384">
        <w:rPr>
          <w:rStyle w:val="FootnoteReference"/>
          <w:szCs w:val="17"/>
        </w:rPr>
        <w:footnoteRef/>
      </w:r>
      <w:r w:rsidRPr="00A61384">
        <w:rPr>
          <w:szCs w:val="17"/>
        </w:rPr>
        <w:t xml:space="preserve"> </w:t>
      </w:r>
      <w:r w:rsidRPr="00A61384">
        <w:rPr>
          <w:rStyle w:val="FootnotesChar"/>
          <w:szCs w:val="17"/>
        </w:rPr>
        <w:t xml:space="preserve">ONS (May 2025) </w:t>
      </w:r>
      <w:hyperlink r:id="rId8" w:history="1">
        <w:r w:rsidRPr="00A61384">
          <w:rPr>
            <w:rStyle w:val="Hyperlink"/>
            <w:szCs w:val="17"/>
          </w:rPr>
          <w:t>Long-term international migration, provisional: year ending December 2024</w:t>
        </w:r>
      </w:hyperlink>
    </w:p>
  </w:footnote>
  <w:footnote w:id="9">
    <w:p w14:paraId="0C5B552B" w14:textId="77777777" w:rsidR="00653845" w:rsidRPr="00F94A45" w:rsidRDefault="00653845" w:rsidP="00653845">
      <w:pPr>
        <w:pStyle w:val="Footnotes"/>
      </w:pPr>
      <w:r w:rsidRPr="00A61384">
        <w:rPr>
          <w:rStyle w:val="FootnoteReference"/>
          <w:szCs w:val="17"/>
        </w:rPr>
        <w:footnoteRef/>
      </w:r>
      <w:r w:rsidRPr="00A61384">
        <w:rPr>
          <w:szCs w:val="17"/>
        </w:rPr>
        <w:t xml:space="preserve"> ONS November 2025 </w:t>
      </w:r>
      <w:hyperlink r:id="rId9" w:history="1">
        <w:r w:rsidRPr="00A61384">
          <w:rPr>
            <w:rStyle w:val="Hyperlink"/>
            <w:szCs w:val="17"/>
          </w:rPr>
          <w:t>Improving long-term international migration statistics</w:t>
        </w:r>
      </w:hyperlink>
      <w:r w:rsidRPr="00F94A45">
        <w:t xml:space="preserve"> </w:t>
      </w:r>
    </w:p>
  </w:footnote>
  <w:footnote w:id="10">
    <w:p w14:paraId="03DAF6F9" w14:textId="4AF6FC21" w:rsidR="00680F7C" w:rsidRDefault="00680F7C" w:rsidP="009F518A">
      <w:pPr>
        <w:pStyle w:val="Footnotes"/>
      </w:pPr>
      <w:r>
        <w:rPr>
          <w:rStyle w:val="FootnoteReference"/>
        </w:rPr>
        <w:footnoteRef/>
      </w:r>
      <w:r>
        <w:t xml:space="preserve"> </w:t>
      </w:r>
      <w:r w:rsidR="00B32C03" w:rsidRPr="00B32C03">
        <w:t xml:space="preserve">Although ONS has not assigned UPC to any one component of change, it is likely due to issues around the estimation of migration: </w:t>
      </w:r>
      <w:r w:rsidR="004469DA">
        <w:t>internation</w:t>
      </w:r>
      <w:r w:rsidR="00BC4CB6">
        <w:t>al</w:t>
      </w:r>
      <w:r w:rsidR="004469DA">
        <w:t xml:space="preserve"> migration is the</w:t>
      </w:r>
      <w:r w:rsidR="00B32C03" w:rsidRPr="00B32C03">
        <w:t xml:space="preserve"> component</w:t>
      </w:r>
      <w:r w:rsidR="0055336D">
        <w:t xml:space="preserve"> </w:t>
      </w:r>
      <w:r w:rsidR="00B32C03" w:rsidRPr="00B32C03">
        <w:t xml:space="preserve">most challenging to estimate. However, it is possible that UPC is also linked to issues with the Census estimates and/or internal migration. The forthcoming technical methodology document </w:t>
      </w:r>
      <w:r w:rsidR="00B9799E" w:rsidRPr="00B32C03">
        <w:t>from Welsh Government will likely provide further information on how UPC has been considered in the development of the 2022-based projections.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902018"/>
      <w:docPartObj>
        <w:docPartGallery w:val="Page Numbers (Top of Page)"/>
        <w:docPartUnique/>
      </w:docPartObj>
    </w:sdtPr>
    <w:sdtEndPr>
      <w:rPr>
        <w:rFonts w:ascii="Gill Sans MT" w:hAnsi="Gill Sans MT"/>
        <w:color w:val="52A3CB"/>
        <w:sz w:val="20"/>
        <w:szCs w:val="20"/>
      </w:rPr>
    </w:sdtEndPr>
    <w:sdtContent>
      <w:p w14:paraId="5FA7C037" w14:textId="77777777" w:rsidR="00192E85" w:rsidRPr="00192E85" w:rsidRDefault="00192E85" w:rsidP="001C78D4">
        <w:pPr>
          <w:pStyle w:val="Header"/>
          <w:pBdr>
            <w:bottom w:val="single" w:sz="4" w:space="1" w:color="52A3CB"/>
          </w:pBdr>
          <w:spacing w:before="300" w:after="400" w:line="276" w:lineRule="auto"/>
          <w:jc w:val="right"/>
          <w:rPr>
            <w:rFonts w:ascii="Gill Sans MT" w:hAnsi="Gill Sans MT"/>
            <w:color w:val="52A3CB"/>
            <w:sz w:val="20"/>
            <w:szCs w:val="20"/>
          </w:rPr>
        </w:pPr>
        <w:r w:rsidRPr="00192E85">
          <w:rPr>
            <w:rFonts w:ascii="Gill Sans MT" w:hAnsi="Gill Sans MT"/>
            <w:color w:val="52A3CB"/>
            <w:sz w:val="20"/>
            <w:szCs w:val="20"/>
          </w:rPr>
          <w:fldChar w:fldCharType="begin"/>
        </w:r>
        <w:r w:rsidRPr="00192E85">
          <w:rPr>
            <w:rFonts w:ascii="Gill Sans MT" w:hAnsi="Gill Sans MT"/>
            <w:color w:val="52A3CB"/>
            <w:sz w:val="20"/>
            <w:szCs w:val="20"/>
          </w:rPr>
          <w:instrText>PAGE   \* MERGEFORMAT</w:instrText>
        </w:r>
        <w:r w:rsidRPr="00192E85">
          <w:rPr>
            <w:rFonts w:ascii="Gill Sans MT" w:hAnsi="Gill Sans MT"/>
            <w:color w:val="52A3CB"/>
            <w:sz w:val="20"/>
            <w:szCs w:val="20"/>
          </w:rPr>
          <w:fldChar w:fldCharType="separate"/>
        </w:r>
        <w:r w:rsidRPr="00192E85">
          <w:rPr>
            <w:rFonts w:ascii="Gill Sans MT" w:hAnsi="Gill Sans MT"/>
            <w:color w:val="52A3CB"/>
            <w:sz w:val="20"/>
            <w:szCs w:val="20"/>
          </w:rPr>
          <w:t>2</w:t>
        </w:r>
        <w:r w:rsidRPr="00192E85">
          <w:rPr>
            <w:rFonts w:ascii="Gill Sans MT" w:hAnsi="Gill Sans MT"/>
            <w:color w:val="52A3CB"/>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95959" w:themeColor="text1" w:themeTint="A6"/>
        <w:sz w:val="19"/>
        <w:szCs w:val="19"/>
      </w:rPr>
      <w:id w:val="167298235"/>
      <w:docPartObj>
        <w:docPartGallery w:val="Page Numbers (Top of Page)"/>
        <w:docPartUnique/>
      </w:docPartObj>
    </w:sdtPr>
    <w:sdtEndPr/>
    <w:sdtContent>
      <w:p w14:paraId="720D3878" w14:textId="44D23775" w:rsidR="005B0BBE" w:rsidRDefault="00B424F9" w:rsidP="005B0BBE">
        <w:pPr>
          <w:pStyle w:val="Header"/>
          <w:spacing w:after="500" w:line="276" w:lineRule="auto"/>
          <w:jc w:val="right"/>
          <w:rPr>
            <w:color w:val="595959" w:themeColor="text1" w:themeTint="A6"/>
            <w:sz w:val="19"/>
            <w:szCs w:val="19"/>
          </w:rPr>
        </w:pPr>
        <w:r>
          <w:rPr>
            <w:color w:val="595959" w:themeColor="text1" w:themeTint="A6"/>
            <w:sz w:val="19"/>
            <w:szCs w:val="19"/>
          </w:rPr>
          <w:t>Carmarthenshire Demographic Evidence</w:t>
        </w:r>
        <w:r w:rsidR="005B0BBE" w:rsidRPr="003134C6">
          <w:rPr>
            <w:color w:val="595959" w:themeColor="text1" w:themeTint="A6"/>
            <w:sz w:val="19"/>
            <w:szCs w:val="19"/>
          </w:rPr>
          <w:ptab w:relativeTo="margin" w:alignment="right" w:leader="none"/>
        </w:r>
        <w:r w:rsidR="005B0BBE" w:rsidRPr="003134C6">
          <w:rPr>
            <w:color w:val="595959" w:themeColor="text1" w:themeTint="A6"/>
            <w:sz w:val="19"/>
            <w:szCs w:val="19"/>
          </w:rPr>
          <w:fldChar w:fldCharType="begin"/>
        </w:r>
        <w:r w:rsidR="005B0BBE" w:rsidRPr="003134C6">
          <w:rPr>
            <w:color w:val="595959" w:themeColor="text1" w:themeTint="A6"/>
            <w:sz w:val="19"/>
            <w:szCs w:val="19"/>
          </w:rPr>
          <w:instrText>PAGE   \* MERGEFORMAT</w:instrText>
        </w:r>
        <w:r w:rsidR="005B0BBE" w:rsidRPr="003134C6">
          <w:rPr>
            <w:color w:val="595959" w:themeColor="text1" w:themeTint="A6"/>
            <w:sz w:val="19"/>
            <w:szCs w:val="19"/>
          </w:rPr>
          <w:fldChar w:fldCharType="separate"/>
        </w:r>
        <w:r w:rsidR="005B0BBE">
          <w:rPr>
            <w:color w:val="595959" w:themeColor="text1" w:themeTint="A6"/>
            <w:sz w:val="19"/>
            <w:szCs w:val="19"/>
          </w:rPr>
          <w:t>2</w:t>
        </w:r>
        <w:r w:rsidR="005B0BBE" w:rsidRPr="003134C6">
          <w:rPr>
            <w:color w:val="595959" w:themeColor="text1" w:themeTint="A6"/>
            <w:sz w:val="19"/>
            <w:szCs w:val="19"/>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41B06" w14:textId="77777777" w:rsidR="00312427" w:rsidRPr="0037672D" w:rsidRDefault="00312427" w:rsidP="0037672D">
    <w:pPr>
      <w:pStyle w:val="Header"/>
      <w:pBdr>
        <w:bottom w:val="single" w:sz="4" w:space="1" w:color="52A3CB"/>
      </w:pBdr>
      <w:spacing w:before="300" w:after="400" w:line="276" w:lineRule="auto"/>
      <w:jc w:val="right"/>
      <w:rPr>
        <w:rFonts w:ascii="Gill Sans MT" w:hAnsi="Gill Sans MT"/>
        <w:color w:val="52A3CB"/>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95959" w:themeColor="text1" w:themeTint="A6"/>
        <w:sz w:val="19"/>
        <w:szCs w:val="19"/>
      </w:rPr>
      <w:id w:val="-2106486953"/>
      <w:docPartObj>
        <w:docPartGallery w:val="Page Numbers (Top of Page)"/>
        <w:docPartUnique/>
      </w:docPartObj>
    </w:sdtPr>
    <w:sdtEndPr/>
    <w:sdtContent>
      <w:p w14:paraId="4A5007D3" w14:textId="2A22A88E" w:rsidR="00D557FE" w:rsidRPr="003134C6" w:rsidRDefault="00B424F9" w:rsidP="003134C6">
        <w:pPr>
          <w:pStyle w:val="Header"/>
          <w:spacing w:after="500" w:line="276" w:lineRule="auto"/>
          <w:jc w:val="right"/>
          <w:rPr>
            <w:color w:val="595959" w:themeColor="text1" w:themeTint="A6"/>
            <w:sz w:val="19"/>
            <w:szCs w:val="19"/>
          </w:rPr>
        </w:pPr>
        <w:r>
          <w:rPr>
            <w:color w:val="595959" w:themeColor="text1" w:themeTint="A6"/>
            <w:sz w:val="19"/>
            <w:szCs w:val="19"/>
          </w:rPr>
          <w:t>Carmarthenshire Demographic Evidence</w:t>
        </w:r>
        <w:r w:rsidR="003134C6" w:rsidRPr="003134C6">
          <w:rPr>
            <w:color w:val="595959" w:themeColor="text1" w:themeTint="A6"/>
            <w:sz w:val="19"/>
            <w:szCs w:val="19"/>
          </w:rPr>
          <w:ptab w:relativeTo="margin" w:alignment="right" w:leader="none"/>
        </w:r>
        <w:r w:rsidR="00D557FE" w:rsidRPr="003134C6">
          <w:rPr>
            <w:color w:val="595959" w:themeColor="text1" w:themeTint="A6"/>
            <w:sz w:val="19"/>
            <w:szCs w:val="19"/>
          </w:rPr>
          <w:fldChar w:fldCharType="begin"/>
        </w:r>
        <w:r w:rsidR="00D557FE" w:rsidRPr="003134C6">
          <w:rPr>
            <w:color w:val="595959" w:themeColor="text1" w:themeTint="A6"/>
            <w:sz w:val="19"/>
            <w:szCs w:val="19"/>
          </w:rPr>
          <w:instrText>PAGE   \* MERGEFORMAT</w:instrText>
        </w:r>
        <w:r w:rsidR="00D557FE" w:rsidRPr="003134C6">
          <w:rPr>
            <w:color w:val="595959" w:themeColor="text1" w:themeTint="A6"/>
            <w:sz w:val="19"/>
            <w:szCs w:val="19"/>
          </w:rPr>
          <w:fldChar w:fldCharType="separate"/>
        </w:r>
        <w:r w:rsidR="00D557FE" w:rsidRPr="003134C6">
          <w:rPr>
            <w:color w:val="595959" w:themeColor="text1" w:themeTint="A6"/>
            <w:sz w:val="19"/>
            <w:szCs w:val="19"/>
          </w:rPr>
          <w:t>2</w:t>
        </w:r>
        <w:r w:rsidR="00D557FE" w:rsidRPr="003134C6">
          <w:rPr>
            <w:color w:val="595959" w:themeColor="text1" w:themeTint="A6"/>
            <w:sz w:val="19"/>
            <w:szCs w:val="19"/>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B5235" w14:textId="77777777" w:rsidR="00F06713" w:rsidRPr="00192E85" w:rsidRDefault="00F06713" w:rsidP="00F06713">
    <w:pPr>
      <w:pStyle w:val="Header"/>
      <w:spacing w:before="300" w:after="400" w:line="276" w:lineRule="auto"/>
      <w:jc w:val="right"/>
      <w:rPr>
        <w:rFonts w:ascii="Gill Sans MT" w:hAnsi="Gill Sans MT"/>
        <w:color w:val="52A3C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7515"/>
    <w:multiLevelType w:val="multilevel"/>
    <w:tmpl w:val="1BE8EC58"/>
    <w:styleLink w:val="Styl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771910"/>
    <w:multiLevelType w:val="hybridMultilevel"/>
    <w:tmpl w:val="70D883FC"/>
    <w:lvl w:ilvl="0" w:tplc="CE2AA9D2">
      <w:start w:val="1"/>
      <w:numFmt w:val="decimal"/>
      <w:pStyle w:val="ExecSummaryText"/>
      <w:lvlText w:val="E.%1"/>
      <w:lvlJc w:val="left"/>
      <w:pPr>
        <w:ind w:left="360" w:hanging="360"/>
      </w:pPr>
      <w:rPr>
        <w:rFonts w:hint="default"/>
        <w:color w:val="7F7F7F" w:themeColor="text1" w:themeTint="8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7366F4"/>
    <w:multiLevelType w:val="multilevel"/>
    <w:tmpl w:val="CD90CB6A"/>
    <w:numStyleLink w:val="Style1"/>
  </w:abstractNum>
  <w:abstractNum w:abstractNumId="3" w15:restartNumberingAfterBreak="0">
    <w:nsid w:val="0F9F6AA8"/>
    <w:multiLevelType w:val="multilevel"/>
    <w:tmpl w:val="602AA9DA"/>
    <w:lvl w:ilvl="0">
      <w:start w:val="1"/>
      <w:numFmt w:val="decimal"/>
      <w:lvlText w:val="%1"/>
      <w:lvlJc w:val="left"/>
      <w:pPr>
        <w:ind w:left="360" w:hanging="360"/>
      </w:pPr>
      <w:rPr>
        <w:rFonts w:hint="default"/>
        <w:color w:val="52A3CB"/>
      </w:rPr>
    </w:lvl>
    <w:lvl w:ilvl="1">
      <w:start w:val="1"/>
      <w:numFmt w:val="decimal"/>
      <w:lvlText w:val="%1.%2"/>
      <w:lvlJc w:val="left"/>
      <w:pPr>
        <w:ind w:left="792" w:hanging="792"/>
      </w:pPr>
      <w:rPr>
        <w:rFonts w:hint="default"/>
        <w:color w:val="A6A6A6" w:themeColor="background1" w:themeShade="A6"/>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AE3005"/>
    <w:multiLevelType w:val="hybridMultilevel"/>
    <w:tmpl w:val="CE7E74EE"/>
    <w:lvl w:ilvl="0" w:tplc="63761292">
      <w:start w:val="1"/>
      <w:numFmt w:val="decimal"/>
      <w:lvlText w:val="E.%1"/>
      <w:lvlJc w:val="left"/>
      <w:pPr>
        <w:ind w:left="720" w:hanging="360"/>
      </w:pPr>
      <w:rPr>
        <w:rFonts w:hint="default"/>
        <w:color w:val="7F7F7F" w:themeColor="text1" w:themeTint="80"/>
        <w:sz w:val="1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171D89"/>
    <w:multiLevelType w:val="multilevel"/>
    <w:tmpl w:val="12129C20"/>
    <w:lvl w:ilvl="0">
      <w:start w:val="1"/>
      <w:numFmt w:val="decimal"/>
      <w:pStyle w:val="Heading1"/>
      <w:lvlText w:val="%1"/>
      <w:lvlJc w:val="left"/>
      <w:pPr>
        <w:ind w:left="360" w:hanging="360"/>
      </w:pPr>
      <w:rPr>
        <w:rFonts w:hint="default"/>
        <w:color w:val="52A3CB"/>
      </w:rPr>
    </w:lvl>
    <w:lvl w:ilvl="1">
      <w:start w:val="1"/>
      <w:numFmt w:val="decimal"/>
      <w:pStyle w:val="ListParagraph"/>
      <w:lvlText w:val="%1.%2"/>
      <w:lvlJc w:val="left"/>
      <w:pPr>
        <w:ind w:left="792" w:hanging="792"/>
      </w:pPr>
      <w:rPr>
        <w:rFonts w:hint="default"/>
        <w:b w:val="0"/>
        <w:bCs w:val="0"/>
        <w:color w:val="A6A6A6" w:themeColor="background1" w:themeShade="A6"/>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AA1744B"/>
    <w:multiLevelType w:val="multilevel"/>
    <w:tmpl w:val="1BE8EC58"/>
    <w:numStyleLink w:val="Style2"/>
  </w:abstractNum>
  <w:abstractNum w:abstractNumId="7" w15:restartNumberingAfterBreak="0">
    <w:nsid w:val="4A696A1F"/>
    <w:multiLevelType w:val="multilevel"/>
    <w:tmpl w:val="CD90CB6A"/>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4C6341F5"/>
    <w:multiLevelType w:val="multilevel"/>
    <w:tmpl w:val="994443F0"/>
    <w:lvl w:ilvl="0">
      <w:start w:val="1"/>
      <w:numFmt w:val="upperLetter"/>
      <w:pStyle w:val="AppendixHeader"/>
      <w:lvlText w:val="APPENDIX %1"/>
      <w:lvlJc w:val="left"/>
      <w:pPr>
        <w:ind w:left="360" w:hanging="360"/>
      </w:pPr>
      <w:rPr>
        <w:rFonts w:ascii="Gill Sans MT" w:hAnsi="Gill Sans MT" w:hint="default"/>
        <w:color w:val="52A3CB"/>
        <w:spacing w:val="20"/>
        <w:sz w:val="36"/>
        <w:szCs w:val="36"/>
      </w:rPr>
    </w:lvl>
    <w:lvl w:ilvl="1">
      <w:start w:val="1"/>
      <w:numFmt w:val="decimal"/>
      <w:pStyle w:val="AppendixText"/>
      <w:lvlText w:val="%1.%2"/>
      <w:lvlJc w:val="left"/>
      <w:pPr>
        <w:ind w:left="1440" w:hanging="360"/>
      </w:pPr>
      <w:rPr>
        <w:rFonts w:hint="default"/>
        <w:color w:val="A6A6A6" w:themeColor="background1" w:themeShade="A6"/>
        <w:sz w:val="18"/>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3491058"/>
    <w:multiLevelType w:val="multilevel"/>
    <w:tmpl w:val="BA003880"/>
    <w:lvl w:ilvl="0">
      <w:start w:val="1"/>
      <w:numFmt w:val="upperLetter"/>
      <w:lvlText w:val="Appendix %1"/>
      <w:lvlJc w:val="left"/>
      <w:pPr>
        <w:ind w:left="360" w:hanging="360"/>
      </w:pPr>
      <w:rPr>
        <w:rFonts w:hint="default"/>
        <w:b w:val="0"/>
        <w:bCs w:val="0"/>
        <w:i w:val="0"/>
        <w:iCs w:val="0"/>
        <w:caps w:val="0"/>
        <w:smallCaps w:val="0"/>
        <w:strike w:val="0"/>
        <w:dstrike w:val="0"/>
        <w:noProof w:val="0"/>
        <w:vanish w:val="0"/>
        <w:color w:val="79A3E1"/>
        <w:spacing w:val="0"/>
        <w:kern w:val="0"/>
        <w:position w:val="0"/>
        <w:sz w:val="44"/>
        <w:szCs w:val="5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pStyle w:val="BulletList"/>
      <w:lvlText w:val=""/>
      <w:lvlJc w:val="left"/>
      <w:pPr>
        <w:ind w:left="851" w:hanging="284"/>
      </w:pPr>
      <w:rPr>
        <w:rFonts w:ascii="Symbol" w:hAnsi="Symbol" w:hint="default"/>
        <w:color w:val="52A3CB"/>
        <w:sz w:val="18"/>
        <w:szCs w:val="18"/>
      </w:rPr>
    </w:lvl>
    <w:lvl w:ilvl="2">
      <w:start w:val="1"/>
      <w:numFmt w:val="lowerRoman"/>
      <w:lvlText w:val="%3."/>
      <w:lvlJc w:val="right"/>
      <w:pPr>
        <w:ind w:left="4996" w:hanging="180"/>
      </w:pPr>
      <w:rPr>
        <w:rFonts w:hint="default"/>
      </w:rPr>
    </w:lvl>
    <w:lvl w:ilvl="3">
      <w:start w:val="1"/>
      <w:numFmt w:val="decimal"/>
      <w:lvlText w:val="%4."/>
      <w:lvlJc w:val="left"/>
      <w:pPr>
        <w:ind w:left="5716" w:hanging="360"/>
      </w:pPr>
      <w:rPr>
        <w:rFonts w:hint="default"/>
      </w:rPr>
    </w:lvl>
    <w:lvl w:ilvl="4">
      <w:start w:val="1"/>
      <w:numFmt w:val="lowerLetter"/>
      <w:lvlText w:val="%5."/>
      <w:lvlJc w:val="left"/>
      <w:pPr>
        <w:ind w:left="6436" w:hanging="360"/>
      </w:pPr>
      <w:rPr>
        <w:rFonts w:hint="default"/>
      </w:rPr>
    </w:lvl>
    <w:lvl w:ilvl="5">
      <w:start w:val="1"/>
      <w:numFmt w:val="lowerRoman"/>
      <w:lvlText w:val="%6."/>
      <w:lvlJc w:val="right"/>
      <w:pPr>
        <w:ind w:left="7156" w:hanging="180"/>
      </w:pPr>
      <w:rPr>
        <w:rFonts w:hint="default"/>
      </w:rPr>
    </w:lvl>
    <w:lvl w:ilvl="6">
      <w:start w:val="1"/>
      <w:numFmt w:val="decimal"/>
      <w:lvlText w:val="%7."/>
      <w:lvlJc w:val="left"/>
      <w:pPr>
        <w:ind w:left="7876" w:hanging="360"/>
      </w:pPr>
      <w:rPr>
        <w:rFonts w:hint="default"/>
      </w:rPr>
    </w:lvl>
    <w:lvl w:ilvl="7">
      <w:start w:val="1"/>
      <w:numFmt w:val="lowerLetter"/>
      <w:lvlText w:val="%8."/>
      <w:lvlJc w:val="left"/>
      <w:pPr>
        <w:ind w:left="8596" w:hanging="360"/>
      </w:pPr>
      <w:rPr>
        <w:rFonts w:hint="default"/>
      </w:rPr>
    </w:lvl>
    <w:lvl w:ilvl="8">
      <w:start w:val="1"/>
      <w:numFmt w:val="lowerRoman"/>
      <w:lvlText w:val="%9."/>
      <w:lvlJc w:val="right"/>
      <w:pPr>
        <w:ind w:left="9316" w:hanging="180"/>
      </w:pPr>
      <w:rPr>
        <w:rFonts w:hint="default"/>
      </w:rPr>
    </w:lvl>
  </w:abstractNum>
  <w:num w:numId="1" w16cid:durableId="1141073250">
    <w:abstractNumId w:val="5"/>
  </w:num>
  <w:num w:numId="2" w16cid:durableId="1775439466">
    <w:abstractNumId w:val="7"/>
  </w:num>
  <w:num w:numId="3" w16cid:durableId="1705327125">
    <w:abstractNumId w:val="2"/>
  </w:num>
  <w:num w:numId="4" w16cid:durableId="1925800143">
    <w:abstractNumId w:val="0"/>
  </w:num>
  <w:num w:numId="5" w16cid:durableId="1578437029">
    <w:abstractNumId w:val="6"/>
  </w:num>
  <w:num w:numId="6" w16cid:durableId="869294109">
    <w:abstractNumId w:val="3"/>
  </w:num>
  <w:num w:numId="7" w16cid:durableId="785855484">
    <w:abstractNumId w:val="1"/>
  </w:num>
  <w:num w:numId="8" w16cid:durableId="1971935963">
    <w:abstractNumId w:val="8"/>
  </w:num>
  <w:num w:numId="9" w16cid:durableId="1025862470">
    <w:abstractNumId w:val="4"/>
  </w:num>
  <w:num w:numId="10" w16cid:durableId="643391139">
    <w:abstractNumId w:val="9"/>
  </w:num>
  <w:num w:numId="11" w16cid:durableId="10219037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4F9"/>
    <w:rsid w:val="000002A0"/>
    <w:rsid w:val="000003B8"/>
    <w:rsid w:val="0000210E"/>
    <w:rsid w:val="00002385"/>
    <w:rsid w:val="000043D8"/>
    <w:rsid w:val="0000471F"/>
    <w:rsid w:val="00005F9E"/>
    <w:rsid w:val="00010B76"/>
    <w:rsid w:val="00011F65"/>
    <w:rsid w:val="00014428"/>
    <w:rsid w:val="0001676A"/>
    <w:rsid w:val="00020CED"/>
    <w:rsid w:val="000302F6"/>
    <w:rsid w:val="000323FC"/>
    <w:rsid w:val="00033758"/>
    <w:rsid w:val="00034497"/>
    <w:rsid w:val="000346AC"/>
    <w:rsid w:val="0003670F"/>
    <w:rsid w:val="000413A3"/>
    <w:rsid w:val="000419BB"/>
    <w:rsid w:val="00045573"/>
    <w:rsid w:val="00045ECD"/>
    <w:rsid w:val="00055163"/>
    <w:rsid w:val="00056F10"/>
    <w:rsid w:val="00057B6A"/>
    <w:rsid w:val="0006708A"/>
    <w:rsid w:val="000713B6"/>
    <w:rsid w:val="000723AB"/>
    <w:rsid w:val="0007267D"/>
    <w:rsid w:val="00073CCF"/>
    <w:rsid w:val="0007781F"/>
    <w:rsid w:val="00080134"/>
    <w:rsid w:val="00090627"/>
    <w:rsid w:val="00094004"/>
    <w:rsid w:val="00094695"/>
    <w:rsid w:val="000A18D6"/>
    <w:rsid w:val="000A5D7C"/>
    <w:rsid w:val="000A729E"/>
    <w:rsid w:val="000B49FE"/>
    <w:rsid w:val="000B5302"/>
    <w:rsid w:val="000B67C2"/>
    <w:rsid w:val="000B7DF7"/>
    <w:rsid w:val="000C02DB"/>
    <w:rsid w:val="000C0526"/>
    <w:rsid w:val="000C148B"/>
    <w:rsid w:val="000C5D70"/>
    <w:rsid w:val="000D0966"/>
    <w:rsid w:val="000D1B47"/>
    <w:rsid w:val="000D1CF0"/>
    <w:rsid w:val="000D2D13"/>
    <w:rsid w:val="000D39AA"/>
    <w:rsid w:val="000D3BC8"/>
    <w:rsid w:val="000D7BC9"/>
    <w:rsid w:val="000E669A"/>
    <w:rsid w:val="000F0F3A"/>
    <w:rsid w:val="000F1A62"/>
    <w:rsid w:val="000F7259"/>
    <w:rsid w:val="001031B6"/>
    <w:rsid w:val="00103EF2"/>
    <w:rsid w:val="00104AAC"/>
    <w:rsid w:val="00104ECB"/>
    <w:rsid w:val="00112BB3"/>
    <w:rsid w:val="001136F6"/>
    <w:rsid w:val="00113981"/>
    <w:rsid w:val="0012306A"/>
    <w:rsid w:val="001245B5"/>
    <w:rsid w:val="0012475A"/>
    <w:rsid w:val="00125A03"/>
    <w:rsid w:val="001319EB"/>
    <w:rsid w:val="00131DB0"/>
    <w:rsid w:val="00135731"/>
    <w:rsid w:val="00151D5B"/>
    <w:rsid w:val="001548DA"/>
    <w:rsid w:val="0016135D"/>
    <w:rsid w:val="00162DAE"/>
    <w:rsid w:val="0016377E"/>
    <w:rsid w:val="00165E6A"/>
    <w:rsid w:val="001675BA"/>
    <w:rsid w:val="001701D9"/>
    <w:rsid w:val="001708EC"/>
    <w:rsid w:val="0017203D"/>
    <w:rsid w:val="00175EDE"/>
    <w:rsid w:val="001777CF"/>
    <w:rsid w:val="00177A84"/>
    <w:rsid w:val="00185CB3"/>
    <w:rsid w:val="0018669F"/>
    <w:rsid w:val="00187B28"/>
    <w:rsid w:val="0019061D"/>
    <w:rsid w:val="00192E65"/>
    <w:rsid w:val="00192E85"/>
    <w:rsid w:val="00193014"/>
    <w:rsid w:val="001950CF"/>
    <w:rsid w:val="0019651E"/>
    <w:rsid w:val="00196D1B"/>
    <w:rsid w:val="001A2D2A"/>
    <w:rsid w:val="001A4747"/>
    <w:rsid w:val="001A6AAF"/>
    <w:rsid w:val="001A7251"/>
    <w:rsid w:val="001B0F41"/>
    <w:rsid w:val="001B1452"/>
    <w:rsid w:val="001B3E9E"/>
    <w:rsid w:val="001B4549"/>
    <w:rsid w:val="001B491B"/>
    <w:rsid w:val="001B4C21"/>
    <w:rsid w:val="001B6E9C"/>
    <w:rsid w:val="001C3512"/>
    <w:rsid w:val="001C70AC"/>
    <w:rsid w:val="001C74F9"/>
    <w:rsid w:val="001C78D4"/>
    <w:rsid w:val="001D1601"/>
    <w:rsid w:val="001D6092"/>
    <w:rsid w:val="001D6DB4"/>
    <w:rsid w:val="001E41D8"/>
    <w:rsid w:val="001E466E"/>
    <w:rsid w:val="001E6BEB"/>
    <w:rsid w:val="001F0F70"/>
    <w:rsid w:val="001F67D3"/>
    <w:rsid w:val="001F70C2"/>
    <w:rsid w:val="0020098A"/>
    <w:rsid w:val="002019B3"/>
    <w:rsid w:val="0020305E"/>
    <w:rsid w:val="00203CAC"/>
    <w:rsid w:val="002057E6"/>
    <w:rsid w:val="00206620"/>
    <w:rsid w:val="0020749F"/>
    <w:rsid w:val="002102CF"/>
    <w:rsid w:val="00217C73"/>
    <w:rsid w:val="002200A3"/>
    <w:rsid w:val="00221F64"/>
    <w:rsid w:val="00222245"/>
    <w:rsid w:val="002229AD"/>
    <w:rsid w:val="002242AC"/>
    <w:rsid w:val="002265F9"/>
    <w:rsid w:val="00231F5D"/>
    <w:rsid w:val="0023282A"/>
    <w:rsid w:val="00233882"/>
    <w:rsid w:val="0023460E"/>
    <w:rsid w:val="00244A91"/>
    <w:rsid w:val="00251078"/>
    <w:rsid w:val="00257828"/>
    <w:rsid w:val="00261348"/>
    <w:rsid w:val="002618E5"/>
    <w:rsid w:val="0026403D"/>
    <w:rsid w:val="002644CA"/>
    <w:rsid w:val="00264EC7"/>
    <w:rsid w:val="002674FC"/>
    <w:rsid w:val="002700D3"/>
    <w:rsid w:val="00270BD6"/>
    <w:rsid w:val="00270DDC"/>
    <w:rsid w:val="00273562"/>
    <w:rsid w:val="00276FE5"/>
    <w:rsid w:val="00280A51"/>
    <w:rsid w:val="00281736"/>
    <w:rsid w:val="002A3B8B"/>
    <w:rsid w:val="002A4FC5"/>
    <w:rsid w:val="002A69FD"/>
    <w:rsid w:val="002A7C9B"/>
    <w:rsid w:val="002B07FF"/>
    <w:rsid w:val="002B3ABF"/>
    <w:rsid w:val="002B4047"/>
    <w:rsid w:val="002B5CDF"/>
    <w:rsid w:val="002C143C"/>
    <w:rsid w:val="002C2877"/>
    <w:rsid w:val="002C3FC9"/>
    <w:rsid w:val="002C5339"/>
    <w:rsid w:val="002D175B"/>
    <w:rsid w:val="002D5585"/>
    <w:rsid w:val="002D740D"/>
    <w:rsid w:val="002D74E4"/>
    <w:rsid w:val="002D7806"/>
    <w:rsid w:val="002E6C72"/>
    <w:rsid w:val="002E6C81"/>
    <w:rsid w:val="002F316C"/>
    <w:rsid w:val="002F4257"/>
    <w:rsid w:val="002F759B"/>
    <w:rsid w:val="003037C3"/>
    <w:rsid w:val="0030568D"/>
    <w:rsid w:val="00310D8C"/>
    <w:rsid w:val="00310E35"/>
    <w:rsid w:val="00310F17"/>
    <w:rsid w:val="00312427"/>
    <w:rsid w:val="003134C6"/>
    <w:rsid w:val="00313AE3"/>
    <w:rsid w:val="00315CE6"/>
    <w:rsid w:val="00316865"/>
    <w:rsid w:val="00316E78"/>
    <w:rsid w:val="00317024"/>
    <w:rsid w:val="003236C4"/>
    <w:rsid w:val="00325256"/>
    <w:rsid w:val="00327F5D"/>
    <w:rsid w:val="003370FC"/>
    <w:rsid w:val="00344CF7"/>
    <w:rsid w:val="00346165"/>
    <w:rsid w:val="00351D36"/>
    <w:rsid w:val="0035255C"/>
    <w:rsid w:val="00353E9E"/>
    <w:rsid w:val="003600AD"/>
    <w:rsid w:val="00361D0F"/>
    <w:rsid w:val="003634F6"/>
    <w:rsid w:val="00364937"/>
    <w:rsid w:val="00365822"/>
    <w:rsid w:val="00365A43"/>
    <w:rsid w:val="00366235"/>
    <w:rsid w:val="00371023"/>
    <w:rsid w:val="00371FA6"/>
    <w:rsid w:val="003756C5"/>
    <w:rsid w:val="0037672D"/>
    <w:rsid w:val="003774B1"/>
    <w:rsid w:val="00382C63"/>
    <w:rsid w:val="0038462B"/>
    <w:rsid w:val="003857D1"/>
    <w:rsid w:val="00386884"/>
    <w:rsid w:val="00391257"/>
    <w:rsid w:val="0039203E"/>
    <w:rsid w:val="00393AD2"/>
    <w:rsid w:val="00396D83"/>
    <w:rsid w:val="003970E7"/>
    <w:rsid w:val="003A0464"/>
    <w:rsid w:val="003A087F"/>
    <w:rsid w:val="003A2175"/>
    <w:rsid w:val="003A669C"/>
    <w:rsid w:val="003B13B8"/>
    <w:rsid w:val="003B1A4C"/>
    <w:rsid w:val="003B7E41"/>
    <w:rsid w:val="003C0591"/>
    <w:rsid w:val="003C20AD"/>
    <w:rsid w:val="003C7DE9"/>
    <w:rsid w:val="003D0862"/>
    <w:rsid w:val="003D0CD6"/>
    <w:rsid w:val="003D13E8"/>
    <w:rsid w:val="003D4F21"/>
    <w:rsid w:val="003D50A0"/>
    <w:rsid w:val="003D54A8"/>
    <w:rsid w:val="003D6B4B"/>
    <w:rsid w:val="003E010C"/>
    <w:rsid w:val="003E2612"/>
    <w:rsid w:val="003E4A42"/>
    <w:rsid w:val="003E65FA"/>
    <w:rsid w:val="003F1CB6"/>
    <w:rsid w:val="003F399F"/>
    <w:rsid w:val="003F3D5C"/>
    <w:rsid w:val="003F439F"/>
    <w:rsid w:val="003F4A94"/>
    <w:rsid w:val="003F64D2"/>
    <w:rsid w:val="003F6B17"/>
    <w:rsid w:val="00403932"/>
    <w:rsid w:val="00404268"/>
    <w:rsid w:val="004051A8"/>
    <w:rsid w:val="004055C4"/>
    <w:rsid w:val="004055D8"/>
    <w:rsid w:val="00406196"/>
    <w:rsid w:val="004117BC"/>
    <w:rsid w:val="004155FC"/>
    <w:rsid w:val="00416B03"/>
    <w:rsid w:val="00417C60"/>
    <w:rsid w:val="00417F97"/>
    <w:rsid w:val="00423BE7"/>
    <w:rsid w:val="0042413D"/>
    <w:rsid w:val="00425C34"/>
    <w:rsid w:val="00431FB9"/>
    <w:rsid w:val="00432F77"/>
    <w:rsid w:val="00434BE3"/>
    <w:rsid w:val="00441DCF"/>
    <w:rsid w:val="004423E3"/>
    <w:rsid w:val="00442AEC"/>
    <w:rsid w:val="00443D67"/>
    <w:rsid w:val="00446248"/>
    <w:rsid w:val="004469DA"/>
    <w:rsid w:val="00446B42"/>
    <w:rsid w:val="00447181"/>
    <w:rsid w:val="004504C4"/>
    <w:rsid w:val="0045490B"/>
    <w:rsid w:val="00460897"/>
    <w:rsid w:val="004623B1"/>
    <w:rsid w:val="00471B06"/>
    <w:rsid w:val="00472315"/>
    <w:rsid w:val="0047495B"/>
    <w:rsid w:val="00474A0D"/>
    <w:rsid w:val="0047730D"/>
    <w:rsid w:val="004837D9"/>
    <w:rsid w:val="0049301C"/>
    <w:rsid w:val="00495C84"/>
    <w:rsid w:val="00496139"/>
    <w:rsid w:val="004A2138"/>
    <w:rsid w:val="004A30EC"/>
    <w:rsid w:val="004A5174"/>
    <w:rsid w:val="004B049E"/>
    <w:rsid w:val="004B13C3"/>
    <w:rsid w:val="004B37FC"/>
    <w:rsid w:val="004B3978"/>
    <w:rsid w:val="004B62FE"/>
    <w:rsid w:val="004C1155"/>
    <w:rsid w:val="004C2CB4"/>
    <w:rsid w:val="004C3269"/>
    <w:rsid w:val="004C6614"/>
    <w:rsid w:val="004C6A2E"/>
    <w:rsid w:val="004D02D8"/>
    <w:rsid w:val="004D03F2"/>
    <w:rsid w:val="004D1C0A"/>
    <w:rsid w:val="004D316E"/>
    <w:rsid w:val="004D757E"/>
    <w:rsid w:val="004D7F06"/>
    <w:rsid w:val="004F03C1"/>
    <w:rsid w:val="004F6B44"/>
    <w:rsid w:val="00503C0C"/>
    <w:rsid w:val="005067C5"/>
    <w:rsid w:val="00506CD3"/>
    <w:rsid w:val="00507E03"/>
    <w:rsid w:val="0051247F"/>
    <w:rsid w:val="005129EC"/>
    <w:rsid w:val="0051514C"/>
    <w:rsid w:val="00521C95"/>
    <w:rsid w:val="00522670"/>
    <w:rsid w:val="005235C1"/>
    <w:rsid w:val="00523D86"/>
    <w:rsid w:val="005249AA"/>
    <w:rsid w:val="00524E26"/>
    <w:rsid w:val="00525225"/>
    <w:rsid w:val="0052758E"/>
    <w:rsid w:val="005276EA"/>
    <w:rsid w:val="00530C13"/>
    <w:rsid w:val="005319A4"/>
    <w:rsid w:val="00535E5F"/>
    <w:rsid w:val="00536FA1"/>
    <w:rsid w:val="00537099"/>
    <w:rsid w:val="00537D30"/>
    <w:rsid w:val="00540A51"/>
    <w:rsid w:val="00543C6A"/>
    <w:rsid w:val="00544ABE"/>
    <w:rsid w:val="00546B3E"/>
    <w:rsid w:val="005504D7"/>
    <w:rsid w:val="0055336D"/>
    <w:rsid w:val="00560E63"/>
    <w:rsid w:val="005610F2"/>
    <w:rsid w:val="00562C74"/>
    <w:rsid w:val="0056339C"/>
    <w:rsid w:val="005658BA"/>
    <w:rsid w:val="00566658"/>
    <w:rsid w:val="00566DAA"/>
    <w:rsid w:val="00572A58"/>
    <w:rsid w:val="00573A54"/>
    <w:rsid w:val="00573E43"/>
    <w:rsid w:val="005740F0"/>
    <w:rsid w:val="0057579E"/>
    <w:rsid w:val="00576349"/>
    <w:rsid w:val="00581424"/>
    <w:rsid w:val="00583C17"/>
    <w:rsid w:val="00585E1E"/>
    <w:rsid w:val="0059006C"/>
    <w:rsid w:val="00590A7D"/>
    <w:rsid w:val="00591094"/>
    <w:rsid w:val="00593E31"/>
    <w:rsid w:val="00595C3A"/>
    <w:rsid w:val="00596127"/>
    <w:rsid w:val="00597AF0"/>
    <w:rsid w:val="005A0FEA"/>
    <w:rsid w:val="005A502A"/>
    <w:rsid w:val="005A52A7"/>
    <w:rsid w:val="005A59ED"/>
    <w:rsid w:val="005B0BBE"/>
    <w:rsid w:val="005B0EB4"/>
    <w:rsid w:val="005B55FC"/>
    <w:rsid w:val="005B6543"/>
    <w:rsid w:val="005B7A0A"/>
    <w:rsid w:val="005B7B1C"/>
    <w:rsid w:val="005C0F61"/>
    <w:rsid w:val="005C30D2"/>
    <w:rsid w:val="005C4CEE"/>
    <w:rsid w:val="005C6CEE"/>
    <w:rsid w:val="005D099D"/>
    <w:rsid w:val="005D308A"/>
    <w:rsid w:val="005D31A6"/>
    <w:rsid w:val="005D507F"/>
    <w:rsid w:val="005D7A98"/>
    <w:rsid w:val="005E0DE5"/>
    <w:rsid w:val="005E3BBF"/>
    <w:rsid w:val="005E4210"/>
    <w:rsid w:val="005E50FF"/>
    <w:rsid w:val="005E5692"/>
    <w:rsid w:val="005E59BA"/>
    <w:rsid w:val="005E6934"/>
    <w:rsid w:val="005E7D90"/>
    <w:rsid w:val="005F2CA7"/>
    <w:rsid w:val="005F674D"/>
    <w:rsid w:val="005F6B22"/>
    <w:rsid w:val="0060448D"/>
    <w:rsid w:val="00610471"/>
    <w:rsid w:val="0061148E"/>
    <w:rsid w:val="00612CAB"/>
    <w:rsid w:val="006130C8"/>
    <w:rsid w:val="00623B75"/>
    <w:rsid w:val="00624E7E"/>
    <w:rsid w:val="00631826"/>
    <w:rsid w:val="006319DF"/>
    <w:rsid w:val="00631F06"/>
    <w:rsid w:val="00646194"/>
    <w:rsid w:val="00647AF7"/>
    <w:rsid w:val="00650AD5"/>
    <w:rsid w:val="00651639"/>
    <w:rsid w:val="00653845"/>
    <w:rsid w:val="0065604F"/>
    <w:rsid w:val="006607C0"/>
    <w:rsid w:val="00661459"/>
    <w:rsid w:val="00662C51"/>
    <w:rsid w:val="00665C7B"/>
    <w:rsid w:val="00666287"/>
    <w:rsid w:val="00671C4B"/>
    <w:rsid w:val="00672EF5"/>
    <w:rsid w:val="00674E8C"/>
    <w:rsid w:val="00675221"/>
    <w:rsid w:val="00676C63"/>
    <w:rsid w:val="00677BDE"/>
    <w:rsid w:val="00677C13"/>
    <w:rsid w:val="00680F7C"/>
    <w:rsid w:val="006846AA"/>
    <w:rsid w:val="00686C4D"/>
    <w:rsid w:val="00692016"/>
    <w:rsid w:val="00694FE6"/>
    <w:rsid w:val="006A031D"/>
    <w:rsid w:val="006A4D7B"/>
    <w:rsid w:val="006A5AED"/>
    <w:rsid w:val="006A7156"/>
    <w:rsid w:val="006B2369"/>
    <w:rsid w:val="006B36E2"/>
    <w:rsid w:val="006D1EA7"/>
    <w:rsid w:val="006D2BA8"/>
    <w:rsid w:val="006E2591"/>
    <w:rsid w:val="006E2DE9"/>
    <w:rsid w:val="006E33B4"/>
    <w:rsid w:val="006E6EA0"/>
    <w:rsid w:val="006F0087"/>
    <w:rsid w:val="006F1880"/>
    <w:rsid w:val="00711E90"/>
    <w:rsid w:val="007146D7"/>
    <w:rsid w:val="00717326"/>
    <w:rsid w:val="00722038"/>
    <w:rsid w:val="00722863"/>
    <w:rsid w:val="007416EF"/>
    <w:rsid w:val="007466F4"/>
    <w:rsid w:val="0075204D"/>
    <w:rsid w:val="00754FF6"/>
    <w:rsid w:val="00755590"/>
    <w:rsid w:val="007562D8"/>
    <w:rsid w:val="0076098F"/>
    <w:rsid w:val="00761667"/>
    <w:rsid w:val="00761D7D"/>
    <w:rsid w:val="00767ABB"/>
    <w:rsid w:val="007736F9"/>
    <w:rsid w:val="00775563"/>
    <w:rsid w:val="00775B1E"/>
    <w:rsid w:val="007777E7"/>
    <w:rsid w:val="00782A1E"/>
    <w:rsid w:val="00797893"/>
    <w:rsid w:val="007A01D9"/>
    <w:rsid w:val="007A1C4E"/>
    <w:rsid w:val="007A460D"/>
    <w:rsid w:val="007A7C52"/>
    <w:rsid w:val="007B0A3C"/>
    <w:rsid w:val="007B0F87"/>
    <w:rsid w:val="007B3C89"/>
    <w:rsid w:val="007B641B"/>
    <w:rsid w:val="007B6A11"/>
    <w:rsid w:val="007B6FB0"/>
    <w:rsid w:val="007B754E"/>
    <w:rsid w:val="007B7AE6"/>
    <w:rsid w:val="007C09A4"/>
    <w:rsid w:val="007C1A5A"/>
    <w:rsid w:val="007C7A5F"/>
    <w:rsid w:val="007D0300"/>
    <w:rsid w:val="007D1137"/>
    <w:rsid w:val="007D1D08"/>
    <w:rsid w:val="007D473A"/>
    <w:rsid w:val="007D7CA3"/>
    <w:rsid w:val="007E1418"/>
    <w:rsid w:val="007E2C9D"/>
    <w:rsid w:val="007E4D12"/>
    <w:rsid w:val="007E55B4"/>
    <w:rsid w:val="00800D59"/>
    <w:rsid w:val="008018C7"/>
    <w:rsid w:val="0080214F"/>
    <w:rsid w:val="00805EAA"/>
    <w:rsid w:val="00807DC4"/>
    <w:rsid w:val="00812AC1"/>
    <w:rsid w:val="00812D28"/>
    <w:rsid w:val="008137C8"/>
    <w:rsid w:val="00815E31"/>
    <w:rsid w:val="0082773E"/>
    <w:rsid w:val="008329EC"/>
    <w:rsid w:val="00834E28"/>
    <w:rsid w:val="008363F6"/>
    <w:rsid w:val="00840F48"/>
    <w:rsid w:val="00844EE5"/>
    <w:rsid w:val="00846C59"/>
    <w:rsid w:val="00847B08"/>
    <w:rsid w:val="008503F4"/>
    <w:rsid w:val="00852F16"/>
    <w:rsid w:val="00854A10"/>
    <w:rsid w:val="00863670"/>
    <w:rsid w:val="00863BE0"/>
    <w:rsid w:val="00863CE2"/>
    <w:rsid w:val="00865662"/>
    <w:rsid w:val="00874008"/>
    <w:rsid w:val="00880D3E"/>
    <w:rsid w:val="00881B9C"/>
    <w:rsid w:val="00883668"/>
    <w:rsid w:val="00886BF6"/>
    <w:rsid w:val="00886CA3"/>
    <w:rsid w:val="008918B6"/>
    <w:rsid w:val="00895BA5"/>
    <w:rsid w:val="008A18AC"/>
    <w:rsid w:val="008A69EA"/>
    <w:rsid w:val="008C1A49"/>
    <w:rsid w:val="008C5797"/>
    <w:rsid w:val="008C64C3"/>
    <w:rsid w:val="008D1738"/>
    <w:rsid w:val="008D1BA5"/>
    <w:rsid w:val="008D2902"/>
    <w:rsid w:val="008D4F16"/>
    <w:rsid w:val="008D6FD2"/>
    <w:rsid w:val="008D7BCE"/>
    <w:rsid w:val="008E5F13"/>
    <w:rsid w:val="008E63F7"/>
    <w:rsid w:val="008F3A01"/>
    <w:rsid w:val="008F3BFE"/>
    <w:rsid w:val="008F4569"/>
    <w:rsid w:val="008F6DB2"/>
    <w:rsid w:val="008F7813"/>
    <w:rsid w:val="00900078"/>
    <w:rsid w:val="009003AC"/>
    <w:rsid w:val="00900DC0"/>
    <w:rsid w:val="009048DB"/>
    <w:rsid w:val="009067A0"/>
    <w:rsid w:val="00911162"/>
    <w:rsid w:val="00912145"/>
    <w:rsid w:val="00914CCC"/>
    <w:rsid w:val="00917698"/>
    <w:rsid w:val="00920F87"/>
    <w:rsid w:val="00921124"/>
    <w:rsid w:val="0092133A"/>
    <w:rsid w:val="00924DD2"/>
    <w:rsid w:val="0092524A"/>
    <w:rsid w:val="009254BD"/>
    <w:rsid w:val="0092739B"/>
    <w:rsid w:val="00931913"/>
    <w:rsid w:val="00934049"/>
    <w:rsid w:val="0093693F"/>
    <w:rsid w:val="00937FDC"/>
    <w:rsid w:val="00941FDA"/>
    <w:rsid w:val="00942286"/>
    <w:rsid w:val="00943A94"/>
    <w:rsid w:val="00944CE2"/>
    <w:rsid w:val="00951D3E"/>
    <w:rsid w:val="00955AAC"/>
    <w:rsid w:val="0096073D"/>
    <w:rsid w:val="00963BD6"/>
    <w:rsid w:val="0096417E"/>
    <w:rsid w:val="009644FF"/>
    <w:rsid w:val="00965DBD"/>
    <w:rsid w:val="00967F7B"/>
    <w:rsid w:val="009719DF"/>
    <w:rsid w:val="0097792C"/>
    <w:rsid w:val="0098320D"/>
    <w:rsid w:val="009848B7"/>
    <w:rsid w:val="0098507F"/>
    <w:rsid w:val="009858BB"/>
    <w:rsid w:val="009874B3"/>
    <w:rsid w:val="0099116D"/>
    <w:rsid w:val="009921AA"/>
    <w:rsid w:val="009924B3"/>
    <w:rsid w:val="00997878"/>
    <w:rsid w:val="009B013E"/>
    <w:rsid w:val="009B3FEA"/>
    <w:rsid w:val="009B4E49"/>
    <w:rsid w:val="009C3B5F"/>
    <w:rsid w:val="009C401D"/>
    <w:rsid w:val="009C40DF"/>
    <w:rsid w:val="009C699C"/>
    <w:rsid w:val="009D0845"/>
    <w:rsid w:val="009D14DB"/>
    <w:rsid w:val="009D2FBC"/>
    <w:rsid w:val="009D32D8"/>
    <w:rsid w:val="009D3C1F"/>
    <w:rsid w:val="009D7BE9"/>
    <w:rsid w:val="009E0A28"/>
    <w:rsid w:val="009E10BF"/>
    <w:rsid w:val="009E4D8D"/>
    <w:rsid w:val="009E79AE"/>
    <w:rsid w:val="009F20D7"/>
    <w:rsid w:val="009F3F0D"/>
    <w:rsid w:val="009F518A"/>
    <w:rsid w:val="00A01776"/>
    <w:rsid w:val="00A11EA2"/>
    <w:rsid w:val="00A13CAD"/>
    <w:rsid w:val="00A17584"/>
    <w:rsid w:val="00A20EE9"/>
    <w:rsid w:val="00A234CE"/>
    <w:rsid w:val="00A24F51"/>
    <w:rsid w:val="00A25C6F"/>
    <w:rsid w:val="00A30B0F"/>
    <w:rsid w:val="00A32649"/>
    <w:rsid w:val="00A346A4"/>
    <w:rsid w:val="00A4176E"/>
    <w:rsid w:val="00A426D8"/>
    <w:rsid w:val="00A42924"/>
    <w:rsid w:val="00A43FE4"/>
    <w:rsid w:val="00A4726D"/>
    <w:rsid w:val="00A539B0"/>
    <w:rsid w:val="00A61384"/>
    <w:rsid w:val="00A61CC5"/>
    <w:rsid w:val="00A63F6D"/>
    <w:rsid w:val="00A672B6"/>
    <w:rsid w:val="00A71EE5"/>
    <w:rsid w:val="00A71FA4"/>
    <w:rsid w:val="00A72D1E"/>
    <w:rsid w:val="00A80165"/>
    <w:rsid w:val="00A85F3B"/>
    <w:rsid w:val="00A86885"/>
    <w:rsid w:val="00A87E48"/>
    <w:rsid w:val="00A9062B"/>
    <w:rsid w:val="00AA0464"/>
    <w:rsid w:val="00AA1E75"/>
    <w:rsid w:val="00AA2165"/>
    <w:rsid w:val="00AA21F3"/>
    <w:rsid w:val="00AA49F3"/>
    <w:rsid w:val="00AA502C"/>
    <w:rsid w:val="00AA7FA0"/>
    <w:rsid w:val="00AB3754"/>
    <w:rsid w:val="00AB49FF"/>
    <w:rsid w:val="00AB4B9C"/>
    <w:rsid w:val="00AB5BC1"/>
    <w:rsid w:val="00AC05C4"/>
    <w:rsid w:val="00AC363C"/>
    <w:rsid w:val="00AC3C90"/>
    <w:rsid w:val="00AC77EB"/>
    <w:rsid w:val="00AD0428"/>
    <w:rsid w:val="00AD2D35"/>
    <w:rsid w:val="00AD4363"/>
    <w:rsid w:val="00AD4F3A"/>
    <w:rsid w:val="00AD6D84"/>
    <w:rsid w:val="00AE0CF8"/>
    <w:rsid w:val="00AF0041"/>
    <w:rsid w:val="00AF03F6"/>
    <w:rsid w:val="00AF0A31"/>
    <w:rsid w:val="00AF4D55"/>
    <w:rsid w:val="00AF554E"/>
    <w:rsid w:val="00AF6C11"/>
    <w:rsid w:val="00B007E3"/>
    <w:rsid w:val="00B108C5"/>
    <w:rsid w:val="00B15897"/>
    <w:rsid w:val="00B16745"/>
    <w:rsid w:val="00B23191"/>
    <w:rsid w:val="00B248DA"/>
    <w:rsid w:val="00B24925"/>
    <w:rsid w:val="00B278B7"/>
    <w:rsid w:val="00B3015D"/>
    <w:rsid w:val="00B32C03"/>
    <w:rsid w:val="00B3320E"/>
    <w:rsid w:val="00B36933"/>
    <w:rsid w:val="00B36E91"/>
    <w:rsid w:val="00B424F9"/>
    <w:rsid w:val="00B51F2F"/>
    <w:rsid w:val="00B5267A"/>
    <w:rsid w:val="00B531DE"/>
    <w:rsid w:val="00B61919"/>
    <w:rsid w:val="00B71CB4"/>
    <w:rsid w:val="00B748AA"/>
    <w:rsid w:val="00B74D2A"/>
    <w:rsid w:val="00B7548C"/>
    <w:rsid w:val="00B777C5"/>
    <w:rsid w:val="00B8036A"/>
    <w:rsid w:val="00B82A6D"/>
    <w:rsid w:val="00B832E9"/>
    <w:rsid w:val="00B8568E"/>
    <w:rsid w:val="00B90DBD"/>
    <w:rsid w:val="00B92776"/>
    <w:rsid w:val="00B9303E"/>
    <w:rsid w:val="00B942C0"/>
    <w:rsid w:val="00B95C95"/>
    <w:rsid w:val="00B968C5"/>
    <w:rsid w:val="00B9799E"/>
    <w:rsid w:val="00BA10E4"/>
    <w:rsid w:val="00BA2A1F"/>
    <w:rsid w:val="00BA54D9"/>
    <w:rsid w:val="00BA66D0"/>
    <w:rsid w:val="00BB139E"/>
    <w:rsid w:val="00BB3F49"/>
    <w:rsid w:val="00BC3470"/>
    <w:rsid w:val="00BC4CB6"/>
    <w:rsid w:val="00BC56A7"/>
    <w:rsid w:val="00BD35E0"/>
    <w:rsid w:val="00BD43C3"/>
    <w:rsid w:val="00BD6E49"/>
    <w:rsid w:val="00BE0E72"/>
    <w:rsid w:val="00BE6D0D"/>
    <w:rsid w:val="00BE7802"/>
    <w:rsid w:val="00BF0C71"/>
    <w:rsid w:val="00BF202F"/>
    <w:rsid w:val="00BF26B6"/>
    <w:rsid w:val="00BF414A"/>
    <w:rsid w:val="00BF4F32"/>
    <w:rsid w:val="00BF707C"/>
    <w:rsid w:val="00C0333B"/>
    <w:rsid w:val="00C07D0F"/>
    <w:rsid w:val="00C11C03"/>
    <w:rsid w:val="00C163E3"/>
    <w:rsid w:val="00C24CCD"/>
    <w:rsid w:val="00C26915"/>
    <w:rsid w:val="00C34B79"/>
    <w:rsid w:val="00C34D9F"/>
    <w:rsid w:val="00C3769C"/>
    <w:rsid w:val="00C41F99"/>
    <w:rsid w:val="00C42C7D"/>
    <w:rsid w:val="00C43E4D"/>
    <w:rsid w:val="00C47511"/>
    <w:rsid w:val="00C47B70"/>
    <w:rsid w:val="00C53F60"/>
    <w:rsid w:val="00C5626B"/>
    <w:rsid w:val="00C61BDD"/>
    <w:rsid w:val="00C63FC4"/>
    <w:rsid w:val="00C727A9"/>
    <w:rsid w:val="00C72E1B"/>
    <w:rsid w:val="00C8130B"/>
    <w:rsid w:val="00C82190"/>
    <w:rsid w:val="00C8356E"/>
    <w:rsid w:val="00C9114A"/>
    <w:rsid w:val="00C9447F"/>
    <w:rsid w:val="00C96A78"/>
    <w:rsid w:val="00CA0B37"/>
    <w:rsid w:val="00CA129E"/>
    <w:rsid w:val="00CA58C2"/>
    <w:rsid w:val="00CA64B0"/>
    <w:rsid w:val="00CA6827"/>
    <w:rsid w:val="00CB007C"/>
    <w:rsid w:val="00CB03D6"/>
    <w:rsid w:val="00CB57E2"/>
    <w:rsid w:val="00CC14BA"/>
    <w:rsid w:val="00CC43F7"/>
    <w:rsid w:val="00CD0160"/>
    <w:rsid w:val="00CD11D4"/>
    <w:rsid w:val="00CD20C4"/>
    <w:rsid w:val="00CD660B"/>
    <w:rsid w:val="00CE0445"/>
    <w:rsid w:val="00CE2A6A"/>
    <w:rsid w:val="00CE41AF"/>
    <w:rsid w:val="00CE64A8"/>
    <w:rsid w:val="00CF13AC"/>
    <w:rsid w:val="00CF2253"/>
    <w:rsid w:val="00CF22FF"/>
    <w:rsid w:val="00CF3540"/>
    <w:rsid w:val="00D013FE"/>
    <w:rsid w:val="00D044EE"/>
    <w:rsid w:val="00D05D42"/>
    <w:rsid w:val="00D05DA4"/>
    <w:rsid w:val="00D0737B"/>
    <w:rsid w:val="00D07C8D"/>
    <w:rsid w:val="00D1124E"/>
    <w:rsid w:val="00D1145E"/>
    <w:rsid w:val="00D121A0"/>
    <w:rsid w:val="00D123D1"/>
    <w:rsid w:val="00D1455E"/>
    <w:rsid w:val="00D172FA"/>
    <w:rsid w:val="00D20BB2"/>
    <w:rsid w:val="00D33218"/>
    <w:rsid w:val="00D34885"/>
    <w:rsid w:val="00D411A2"/>
    <w:rsid w:val="00D42CA8"/>
    <w:rsid w:val="00D468D6"/>
    <w:rsid w:val="00D510D3"/>
    <w:rsid w:val="00D51D2B"/>
    <w:rsid w:val="00D54060"/>
    <w:rsid w:val="00D557FE"/>
    <w:rsid w:val="00D57BC4"/>
    <w:rsid w:val="00D57FE0"/>
    <w:rsid w:val="00D65947"/>
    <w:rsid w:val="00D65D7A"/>
    <w:rsid w:val="00D71BC5"/>
    <w:rsid w:val="00D72297"/>
    <w:rsid w:val="00D820AB"/>
    <w:rsid w:val="00D831C4"/>
    <w:rsid w:val="00D832B1"/>
    <w:rsid w:val="00D847B4"/>
    <w:rsid w:val="00D91225"/>
    <w:rsid w:val="00D9243B"/>
    <w:rsid w:val="00D95F40"/>
    <w:rsid w:val="00D96DE0"/>
    <w:rsid w:val="00DA43DF"/>
    <w:rsid w:val="00DA52B0"/>
    <w:rsid w:val="00DB7A7E"/>
    <w:rsid w:val="00DB7DFE"/>
    <w:rsid w:val="00DC48EE"/>
    <w:rsid w:val="00DC550A"/>
    <w:rsid w:val="00DC7A4B"/>
    <w:rsid w:val="00DD1B23"/>
    <w:rsid w:val="00DD25DD"/>
    <w:rsid w:val="00DD2D83"/>
    <w:rsid w:val="00DD3563"/>
    <w:rsid w:val="00DD5A57"/>
    <w:rsid w:val="00DD63EF"/>
    <w:rsid w:val="00DD6B67"/>
    <w:rsid w:val="00DE304C"/>
    <w:rsid w:val="00DE43FB"/>
    <w:rsid w:val="00DF02CE"/>
    <w:rsid w:val="00DF03A0"/>
    <w:rsid w:val="00DF234A"/>
    <w:rsid w:val="00DF3372"/>
    <w:rsid w:val="00DF3937"/>
    <w:rsid w:val="00DF4E04"/>
    <w:rsid w:val="00DF614B"/>
    <w:rsid w:val="00DF69A6"/>
    <w:rsid w:val="00DF7D84"/>
    <w:rsid w:val="00E00363"/>
    <w:rsid w:val="00E0457E"/>
    <w:rsid w:val="00E055E9"/>
    <w:rsid w:val="00E12A2E"/>
    <w:rsid w:val="00E137F4"/>
    <w:rsid w:val="00E15567"/>
    <w:rsid w:val="00E15AF7"/>
    <w:rsid w:val="00E16994"/>
    <w:rsid w:val="00E17836"/>
    <w:rsid w:val="00E20688"/>
    <w:rsid w:val="00E22868"/>
    <w:rsid w:val="00E238C1"/>
    <w:rsid w:val="00E2461F"/>
    <w:rsid w:val="00E32578"/>
    <w:rsid w:val="00E32BAA"/>
    <w:rsid w:val="00E3723E"/>
    <w:rsid w:val="00E526FC"/>
    <w:rsid w:val="00E6031B"/>
    <w:rsid w:val="00E60760"/>
    <w:rsid w:val="00E62302"/>
    <w:rsid w:val="00E62641"/>
    <w:rsid w:val="00E63202"/>
    <w:rsid w:val="00E646C6"/>
    <w:rsid w:val="00E64CFE"/>
    <w:rsid w:val="00E64D4B"/>
    <w:rsid w:val="00E67BC7"/>
    <w:rsid w:val="00E7053A"/>
    <w:rsid w:val="00E706D7"/>
    <w:rsid w:val="00E713E1"/>
    <w:rsid w:val="00E71526"/>
    <w:rsid w:val="00E778C9"/>
    <w:rsid w:val="00E81F7C"/>
    <w:rsid w:val="00E92FAF"/>
    <w:rsid w:val="00E93FD7"/>
    <w:rsid w:val="00E952C5"/>
    <w:rsid w:val="00EA0BD9"/>
    <w:rsid w:val="00EA1927"/>
    <w:rsid w:val="00EA3811"/>
    <w:rsid w:val="00EB18DB"/>
    <w:rsid w:val="00EB3062"/>
    <w:rsid w:val="00EB33B3"/>
    <w:rsid w:val="00EB777D"/>
    <w:rsid w:val="00EC014C"/>
    <w:rsid w:val="00EC1B53"/>
    <w:rsid w:val="00EC5BEE"/>
    <w:rsid w:val="00ED345B"/>
    <w:rsid w:val="00ED4B6C"/>
    <w:rsid w:val="00EE2087"/>
    <w:rsid w:val="00EE34D0"/>
    <w:rsid w:val="00EE3C76"/>
    <w:rsid w:val="00EE5754"/>
    <w:rsid w:val="00EE6D41"/>
    <w:rsid w:val="00EF0E27"/>
    <w:rsid w:val="00EF3063"/>
    <w:rsid w:val="00F02137"/>
    <w:rsid w:val="00F06713"/>
    <w:rsid w:val="00F06CBC"/>
    <w:rsid w:val="00F105E1"/>
    <w:rsid w:val="00F12F73"/>
    <w:rsid w:val="00F15F8B"/>
    <w:rsid w:val="00F207FA"/>
    <w:rsid w:val="00F2081B"/>
    <w:rsid w:val="00F2255A"/>
    <w:rsid w:val="00F22AB2"/>
    <w:rsid w:val="00F2462D"/>
    <w:rsid w:val="00F26379"/>
    <w:rsid w:val="00F26928"/>
    <w:rsid w:val="00F302A4"/>
    <w:rsid w:val="00F320F6"/>
    <w:rsid w:val="00F35233"/>
    <w:rsid w:val="00F36CF8"/>
    <w:rsid w:val="00F40222"/>
    <w:rsid w:val="00F4744B"/>
    <w:rsid w:val="00F545B4"/>
    <w:rsid w:val="00F57CF0"/>
    <w:rsid w:val="00F63469"/>
    <w:rsid w:val="00F63D46"/>
    <w:rsid w:val="00F74039"/>
    <w:rsid w:val="00F80BE3"/>
    <w:rsid w:val="00F90937"/>
    <w:rsid w:val="00F93295"/>
    <w:rsid w:val="00F93A3E"/>
    <w:rsid w:val="00FA3C48"/>
    <w:rsid w:val="00FA5410"/>
    <w:rsid w:val="00FB54A1"/>
    <w:rsid w:val="00FB5F59"/>
    <w:rsid w:val="00FC04F9"/>
    <w:rsid w:val="00FC0692"/>
    <w:rsid w:val="00FC0714"/>
    <w:rsid w:val="00FC0847"/>
    <w:rsid w:val="00FC0E2E"/>
    <w:rsid w:val="00FC1CB1"/>
    <w:rsid w:val="00FD6DA1"/>
    <w:rsid w:val="00FE0500"/>
    <w:rsid w:val="00FE0E11"/>
    <w:rsid w:val="00FE0FB9"/>
    <w:rsid w:val="00FE366D"/>
    <w:rsid w:val="00FE5BCF"/>
    <w:rsid w:val="00FE6815"/>
    <w:rsid w:val="00FE7FE0"/>
    <w:rsid w:val="00FF04F4"/>
    <w:rsid w:val="00FF1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6D535"/>
  <w15:chartTrackingRefBased/>
  <w15:docId w15:val="{C58C1089-1037-44BC-A4C3-1F6F462D2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662"/>
    <w:pPr>
      <w:spacing w:before="200" w:after="0" w:line="269" w:lineRule="auto"/>
    </w:pPr>
    <w:rPr>
      <w:sz w:val="21"/>
    </w:rPr>
  </w:style>
  <w:style w:type="paragraph" w:styleId="Heading1">
    <w:name w:val="heading 1"/>
    <w:aliases w:val="Head1,Heading1,Char1,Section,Chapter Hdg,Economics Section,New Section,Economics Section Heading,My Heading 1,Lev 1,(Alt 1),Numbered - 1,Outline1,1 ghost,g,Oscar Faber 1,Heading 1 TXC,CES Heading 1,Section 1,Chapter Heading,Section Char1,hea"/>
    <w:basedOn w:val="ListParagraph"/>
    <w:next w:val="Heading2"/>
    <w:link w:val="Heading1Char"/>
    <w:uiPriority w:val="9"/>
    <w:qFormat/>
    <w:rsid w:val="003134C6"/>
    <w:pPr>
      <w:pageBreakBefore/>
      <w:numPr>
        <w:ilvl w:val="0"/>
      </w:numPr>
      <w:spacing w:after="400"/>
      <w:ind w:left="567" w:hanging="567"/>
      <w:outlineLvl w:val="0"/>
    </w:pPr>
    <w:rPr>
      <w:rFonts w:ascii="Gill Sans MT" w:hAnsi="Gill Sans MT"/>
      <w:caps/>
      <w:color w:val="144166"/>
      <w:spacing w:val="36"/>
      <w:sz w:val="40"/>
      <w:szCs w:val="40"/>
    </w:rPr>
  </w:style>
  <w:style w:type="paragraph" w:styleId="Heading2">
    <w:name w:val="heading 2"/>
    <w:basedOn w:val="Normal"/>
    <w:next w:val="ListParagraph"/>
    <w:link w:val="Heading2Char"/>
    <w:uiPriority w:val="9"/>
    <w:unhideWhenUsed/>
    <w:qFormat/>
    <w:rsid w:val="00AD6D84"/>
    <w:pPr>
      <w:keepNext/>
      <w:keepLines/>
      <w:spacing w:after="100"/>
      <w:outlineLvl w:val="1"/>
    </w:pPr>
    <w:rPr>
      <w:rFonts w:asciiTheme="majorHAnsi" w:eastAsiaTheme="majorEastAsia" w:hAnsiTheme="majorHAnsi" w:cstheme="majorBidi"/>
      <w:color w:val="144166"/>
      <w:spacing w:val="10"/>
      <w:sz w:val="32"/>
      <w:szCs w:val="32"/>
    </w:rPr>
  </w:style>
  <w:style w:type="paragraph" w:styleId="Heading3">
    <w:name w:val="heading 3"/>
    <w:basedOn w:val="Normal"/>
    <w:next w:val="ListParagraph"/>
    <w:link w:val="Heading3Char"/>
    <w:uiPriority w:val="9"/>
    <w:unhideWhenUsed/>
    <w:qFormat/>
    <w:rsid w:val="00AD6D84"/>
    <w:pPr>
      <w:spacing w:before="300" w:after="100" w:line="252" w:lineRule="auto"/>
      <w:outlineLvl w:val="2"/>
    </w:pPr>
    <w:rPr>
      <w:color w:val="144166"/>
      <w:spacing w:val="5"/>
      <w:sz w:val="26"/>
      <w:szCs w:val="25"/>
    </w:rPr>
  </w:style>
  <w:style w:type="paragraph" w:styleId="Heading4">
    <w:name w:val="heading 4"/>
    <w:basedOn w:val="Normal"/>
    <w:next w:val="ListParagraph"/>
    <w:link w:val="Heading4Char"/>
    <w:uiPriority w:val="9"/>
    <w:unhideWhenUsed/>
    <w:qFormat/>
    <w:rsid w:val="00B8036A"/>
    <w:pPr>
      <w:keepNext/>
      <w:keepLines/>
      <w:spacing w:before="400" w:after="100"/>
      <w:outlineLvl w:val="3"/>
    </w:pPr>
    <w:rPr>
      <w:rFonts w:eastAsiaTheme="majorEastAsia" w:cstheme="majorBidi"/>
      <w:i/>
      <w:iCs/>
      <w:color w:val="144166"/>
      <w:sz w:val="22"/>
    </w:rPr>
  </w:style>
  <w:style w:type="paragraph" w:styleId="Heading5">
    <w:name w:val="heading 5"/>
    <w:basedOn w:val="Normal"/>
    <w:next w:val="Normal"/>
    <w:link w:val="Heading5Char"/>
    <w:uiPriority w:val="9"/>
    <w:semiHidden/>
    <w:unhideWhenUsed/>
    <w:rsid w:val="00AA21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216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216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216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216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1 Char,Heading1 Char,Char1 Char,Section Char,Chapter Hdg Char,Economics Section Char,New Section Char,Economics Section Heading Char,My Heading 1 Char,Lev 1 Char,(Alt 1) Char,Numbered - 1 Char,Outline1 Char,1 ghost Char,g Char"/>
    <w:basedOn w:val="DefaultParagraphFont"/>
    <w:link w:val="Heading1"/>
    <w:uiPriority w:val="9"/>
    <w:rsid w:val="003134C6"/>
    <w:rPr>
      <w:rFonts w:ascii="Gill Sans MT" w:hAnsi="Gill Sans MT"/>
      <w:caps/>
      <w:color w:val="144166"/>
      <w:spacing w:val="36"/>
      <w:sz w:val="40"/>
      <w:szCs w:val="40"/>
    </w:rPr>
  </w:style>
  <w:style w:type="character" w:customStyle="1" w:styleId="Heading2Char">
    <w:name w:val="Heading 2 Char"/>
    <w:basedOn w:val="DefaultParagraphFont"/>
    <w:link w:val="Heading2"/>
    <w:uiPriority w:val="9"/>
    <w:rsid w:val="00AD6D84"/>
    <w:rPr>
      <w:rFonts w:asciiTheme="majorHAnsi" w:eastAsiaTheme="majorEastAsia" w:hAnsiTheme="majorHAnsi" w:cstheme="majorBidi"/>
      <w:color w:val="144166"/>
      <w:spacing w:val="10"/>
      <w:sz w:val="32"/>
      <w:szCs w:val="32"/>
    </w:rPr>
  </w:style>
  <w:style w:type="character" w:customStyle="1" w:styleId="Heading3Char">
    <w:name w:val="Heading 3 Char"/>
    <w:basedOn w:val="DefaultParagraphFont"/>
    <w:link w:val="Heading3"/>
    <w:uiPriority w:val="9"/>
    <w:rsid w:val="00AD6D84"/>
    <w:rPr>
      <w:color w:val="144166"/>
      <w:spacing w:val="5"/>
      <w:sz w:val="26"/>
      <w:szCs w:val="25"/>
    </w:rPr>
  </w:style>
  <w:style w:type="character" w:customStyle="1" w:styleId="Heading4Char">
    <w:name w:val="Heading 4 Char"/>
    <w:basedOn w:val="DefaultParagraphFont"/>
    <w:link w:val="Heading4"/>
    <w:uiPriority w:val="9"/>
    <w:rsid w:val="00B8036A"/>
    <w:rPr>
      <w:rFonts w:eastAsiaTheme="majorEastAsia" w:cstheme="majorBidi"/>
      <w:i/>
      <w:iCs/>
      <w:color w:val="144166"/>
    </w:rPr>
  </w:style>
  <w:style w:type="character" w:customStyle="1" w:styleId="Heading5Char">
    <w:name w:val="Heading 5 Char"/>
    <w:basedOn w:val="DefaultParagraphFont"/>
    <w:link w:val="Heading5"/>
    <w:uiPriority w:val="9"/>
    <w:semiHidden/>
    <w:rsid w:val="00AA21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21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21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21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2165"/>
    <w:rPr>
      <w:rFonts w:eastAsiaTheme="majorEastAsia" w:cstheme="majorBidi"/>
      <w:color w:val="272727" w:themeColor="text1" w:themeTint="D8"/>
    </w:rPr>
  </w:style>
  <w:style w:type="paragraph" w:styleId="Title">
    <w:name w:val="Title"/>
    <w:basedOn w:val="Normal"/>
    <w:next w:val="Normal"/>
    <w:link w:val="TitleChar"/>
    <w:uiPriority w:val="10"/>
    <w:rsid w:val="00AA21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21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AA21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21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03F4"/>
    <w:pPr>
      <w:spacing w:before="160"/>
      <w:ind w:left="851" w:right="851"/>
      <w:jc w:val="center"/>
    </w:pPr>
    <w:rPr>
      <w:i/>
      <w:iCs/>
      <w:color w:val="52A3CB"/>
    </w:rPr>
  </w:style>
  <w:style w:type="character" w:customStyle="1" w:styleId="QuoteChar">
    <w:name w:val="Quote Char"/>
    <w:basedOn w:val="DefaultParagraphFont"/>
    <w:link w:val="Quote"/>
    <w:uiPriority w:val="29"/>
    <w:rsid w:val="008503F4"/>
    <w:rPr>
      <w:i/>
      <w:iCs/>
      <w:color w:val="52A3CB"/>
      <w:sz w:val="21"/>
    </w:rPr>
  </w:style>
  <w:style w:type="paragraph" w:styleId="ListParagraph">
    <w:name w:val="List Paragraph"/>
    <w:aliases w:val="Paragraph,Sub Head,Main-bullets,List Paragraph1,F5 List Paragraph,List Paragraph11,Numbered Para 1,Dot pt,List Paragraph Char Char Char,Indicator Text,Bullet Points,MAIN CONTENT,List Paragraph12,DLP Edge 1.1 Paras"/>
    <w:basedOn w:val="Normal"/>
    <w:link w:val="ListParagraphChar"/>
    <w:uiPriority w:val="34"/>
    <w:qFormat/>
    <w:rsid w:val="00AD6D84"/>
    <w:pPr>
      <w:numPr>
        <w:ilvl w:val="1"/>
        <w:numId w:val="1"/>
      </w:numPr>
      <w:spacing w:before="0" w:after="200" w:line="274" w:lineRule="auto"/>
      <w:ind w:left="0" w:hanging="737"/>
      <w:jc w:val="both"/>
    </w:pPr>
  </w:style>
  <w:style w:type="character" w:styleId="IntenseEmphasis">
    <w:name w:val="Intense Emphasis"/>
    <w:basedOn w:val="DefaultParagraphFont"/>
    <w:uiPriority w:val="21"/>
    <w:rsid w:val="00AA2165"/>
    <w:rPr>
      <w:i/>
      <w:iCs/>
      <w:color w:val="0F4761" w:themeColor="accent1" w:themeShade="BF"/>
    </w:rPr>
  </w:style>
  <w:style w:type="paragraph" w:styleId="FootnoteText">
    <w:name w:val="footnote text"/>
    <w:basedOn w:val="Normal"/>
    <w:link w:val="FootnoteTextChar"/>
    <w:uiPriority w:val="99"/>
    <w:semiHidden/>
    <w:unhideWhenUsed/>
    <w:rsid w:val="005A52A7"/>
    <w:pPr>
      <w:spacing w:line="240" w:lineRule="auto"/>
    </w:pPr>
    <w:rPr>
      <w:sz w:val="20"/>
      <w:szCs w:val="20"/>
    </w:rPr>
  </w:style>
  <w:style w:type="character" w:customStyle="1" w:styleId="FootnoteTextChar">
    <w:name w:val="Footnote Text Char"/>
    <w:basedOn w:val="DefaultParagraphFont"/>
    <w:link w:val="FootnoteText"/>
    <w:uiPriority w:val="99"/>
    <w:semiHidden/>
    <w:rsid w:val="005A52A7"/>
    <w:rPr>
      <w:sz w:val="20"/>
      <w:szCs w:val="20"/>
    </w:rPr>
  </w:style>
  <w:style w:type="character" w:styleId="FootnoteReference">
    <w:name w:val="footnote reference"/>
    <w:aliases w:val="Footnote Reference (caveat)"/>
    <w:basedOn w:val="DefaultParagraphFont"/>
    <w:uiPriority w:val="99"/>
    <w:unhideWhenUsed/>
    <w:rsid w:val="005A52A7"/>
    <w:rPr>
      <w:vertAlign w:val="superscript"/>
    </w:rPr>
  </w:style>
  <w:style w:type="numbering" w:customStyle="1" w:styleId="Style1">
    <w:name w:val="Style1"/>
    <w:uiPriority w:val="99"/>
    <w:rsid w:val="00AA2165"/>
    <w:pPr>
      <w:numPr>
        <w:numId w:val="2"/>
      </w:numPr>
    </w:pPr>
  </w:style>
  <w:style w:type="numbering" w:customStyle="1" w:styleId="Style2">
    <w:name w:val="Style2"/>
    <w:uiPriority w:val="99"/>
    <w:rsid w:val="00AA2165"/>
    <w:pPr>
      <w:numPr>
        <w:numId w:val="4"/>
      </w:numPr>
    </w:pPr>
  </w:style>
  <w:style w:type="paragraph" w:styleId="Header">
    <w:name w:val="header"/>
    <w:basedOn w:val="Normal"/>
    <w:link w:val="HeaderChar"/>
    <w:uiPriority w:val="99"/>
    <w:unhideWhenUsed/>
    <w:rsid w:val="00192E85"/>
    <w:pPr>
      <w:tabs>
        <w:tab w:val="center" w:pos="4513"/>
        <w:tab w:val="right" w:pos="9026"/>
      </w:tabs>
      <w:spacing w:line="240" w:lineRule="auto"/>
    </w:pPr>
  </w:style>
  <w:style w:type="character" w:customStyle="1" w:styleId="HeaderChar">
    <w:name w:val="Header Char"/>
    <w:basedOn w:val="DefaultParagraphFont"/>
    <w:link w:val="Header"/>
    <w:uiPriority w:val="99"/>
    <w:rsid w:val="00192E85"/>
  </w:style>
  <w:style w:type="paragraph" w:styleId="Footer">
    <w:name w:val="footer"/>
    <w:basedOn w:val="Normal"/>
    <w:link w:val="FooterChar"/>
    <w:uiPriority w:val="99"/>
    <w:unhideWhenUsed/>
    <w:rsid w:val="00192E85"/>
    <w:pPr>
      <w:tabs>
        <w:tab w:val="center" w:pos="4513"/>
        <w:tab w:val="right" w:pos="9026"/>
      </w:tabs>
      <w:spacing w:line="240" w:lineRule="auto"/>
    </w:pPr>
  </w:style>
  <w:style w:type="character" w:customStyle="1" w:styleId="FooterChar">
    <w:name w:val="Footer Char"/>
    <w:basedOn w:val="DefaultParagraphFont"/>
    <w:link w:val="Footer"/>
    <w:uiPriority w:val="99"/>
    <w:rsid w:val="00192E85"/>
  </w:style>
  <w:style w:type="character" w:styleId="SubtleReference">
    <w:name w:val="Subtle Reference"/>
    <w:basedOn w:val="DefaultParagraphFont"/>
    <w:uiPriority w:val="31"/>
    <w:rsid w:val="008503F4"/>
    <w:rPr>
      <w:smallCaps/>
      <w:color w:val="5A5A5A" w:themeColor="text1" w:themeTint="A5"/>
    </w:rPr>
  </w:style>
  <w:style w:type="paragraph" w:customStyle="1" w:styleId="Figure">
    <w:name w:val="Figure"/>
    <w:basedOn w:val="Normal"/>
    <w:link w:val="FigureChar"/>
    <w:qFormat/>
    <w:rsid w:val="00F35233"/>
    <w:pPr>
      <w:spacing w:before="300" w:after="40"/>
      <w:jc w:val="center"/>
    </w:pPr>
  </w:style>
  <w:style w:type="character" w:customStyle="1" w:styleId="FigureChar">
    <w:name w:val="Figure Char"/>
    <w:basedOn w:val="DefaultParagraphFont"/>
    <w:link w:val="Figure"/>
    <w:rsid w:val="00F35233"/>
    <w:rPr>
      <w:sz w:val="21"/>
    </w:rPr>
  </w:style>
  <w:style w:type="paragraph" w:styleId="Caption">
    <w:name w:val="caption"/>
    <w:aliases w:val="Figure Caption"/>
    <w:basedOn w:val="Normal"/>
    <w:next w:val="FigureNote"/>
    <w:link w:val="CaptionChar"/>
    <w:uiPriority w:val="35"/>
    <w:unhideWhenUsed/>
    <w:qFormat/>
    <w:rsid w:val="006A7156"/>
    <w:pPr>
      <w:spacing w:before="40" w:after="60" w:line="240" w:lineRule="auto"/>
      <w:jc w:val="center"/>
    </w:pPr>
    <w:rPr>
      <w:color w:val="144166"/>
      <w:sz w:val="20"/>
      <w:szCs w:val="20"/>
    </w:rPr>
  </w:style>
  <w:style w:type="paragraph" w:customStyle="1" w:styleId="FigureNote">
    <w:name w:val="Figure Note"/>
    <w:basedOn w:val="Normal"/>
    <w:next w:val="ListParagraph"/>
    <w:link w:val="FigureNoteChar"/>
    <w:qFormat/>
    <w:rsid w:val="00F35233"/>
    <w:pPr>
      <w:spacing w:after="300" w:line="240" w:lineRule="auto"/>
      <w:jc w:val="center"/>
    </w:pPr>
    <w:rPr>
      <w:color w:val="7F7F7F" w:themeColor="text1" w:themeTint="80"/>
      <w:sz w:val="18"/>
      <w:szCs w:val="18"/>
    </w:rPr>
  </w:style>
  <w:style w:type="character" w:customStyle="1" w:styleId="FigureNoteChar">
    <w:name w:val="Figure Note Char"/>
    <w:basedOn w:val="DefaultParagraphFont"/>
    <w:link w:val="FigureNote"/>
    <w:rsid w:val="00F35233"/>
    <w:rPr>
      <w:color w:val="7F7F7F" w:themeColor="text1" w:themeTint="80"/>
      <w:sz w:val="18"/>
      <w:szCs w:val="18"/>
    </w:rPr>
  </w:style>
  <w:style w:type="paragraph" w:styleId="NoSpacing">
    <w:name w:val="No Spacing"/>
    <w:link w:val="NoSpacingChar"/>
    <w:uiPriority w:val="1"/>
    <w:qFormat/>
    <w:rsid w:val="00257828"/>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257828"/>
    <w:rPr>
      <w:rFonts w:eastAsiaTheme="minorEastAsia"/>
      <w:kern w:val="0"/>
      <w:lang w:eastAsia="en-GB"/>
      <w14:ligatures w14:val="none"/>
    </w:rPr>
  </w:style>
  <w:style w:type="paragraph" w:customStyle="1" w:styleId="PrefaceHeading">
    <w:name w:val="Preface Heading"/>
    <w:basedOn w:val="Heading1"/>
    <w:next w:val="Normal"/>
    <w:link w:val="PrefaceHeadingChar"/>
    <w:qFormat/>
    <w:rsid w:val="00761667"/>
    <w:pPr>
      <w:numPr>
        <w:numId w:val="0"/>
      </w:numPr>
      <w:spacing w:after="200"/>
    </w:pPr>
  </w:style>
  <w:style w:type="character" w:customStyle="1" w:styleId="PrefaceHeadingChar">
    <w:name w:val="Preface Heading Char"/>
    <w:basedOn w:val="Heading1Char"/>
    <w:link w:val="PrefaceHeading"/>
    <w:rsid w:val="00761667"/>
    <w:rPr>
      <w:rFonts w:ascii="Gill Sans MT" w:hAnsi="Gill Sans MT"/>
      <w:caps/>
      <w:color w:val="144166"/>
      <w:spacing w:val="36"/>
      <w:sz w:val="40"/>
      <w:szCs w:val="40"/>
    </w:rPr>
  </w:style>
  <w:style w:type="paragraph" w:customStyle="1" w:styleId="ExecSummaryText">
    <w:name w:val="Exec Summary Text"/>
    <w:basedOn w:val="ListParagraph"/>
    <w:link w:val="ExecSummaryTextChar"/>
    <w:qFormat/>
    <w:rsid w:val="00581424"/>
    <w:pPr>
      <w:numPr>
        <w:ilvl w:val="0"/>
        <w:numId w:val="7"/>
      </w:numPr>
      <w:ind w:left="0" w:hanging="737"/>
    </w:pPr>
  </w:style>
  <w:style w:type="character" w:customStyle="1" w:styleId="ListParagraphChar">
    <w:name w:val="List Paragraph Char"/>
    <w:aliases w:val="Paragraph Char,Sub Head Char,Main-bullets Char,List Paragraph1 Char,F5 List Paragraph Char,List Paragraph11 Char,Numbered Para 1 Char,Dot pt Char,List Paragraph Char Char Char Char,Indicator Text Char,Bullet Points Char"/>
    <w:basedOn w:val="DefaultParagraphFont"/>
    <w:link w:val="ListParagraph"/>
    <w:uiPriority w:val="34"/>
    <w:rsid w:val="00AD6D84"/>
    <w:rPr>
      <w:sz w:val="21"/>
    </w:rPr>
  </w:style>
  <w:style w:type="character" w:customStyle="1" w:styleId="ExecSummaryTextChar">
    <w:name w:val="Exec Summary Text Char"/>
    <w:basedOn w:val="ListParagraphChar"/>
    <w:link w:val="ExecSummaryText"/>
    <w:rsid w:val="00581424"/>
    <w:rPr>
      <w:sz w:val="21"/>
    </w:rPr>
  </w:style>
  <w:style w:type="table" w:styleId="TableGrid">
    <w:name w:val="Table Grid"/>
    <w:basedOn w:val="TableNormal"/>
    <w:uiPriority w:val="39"/>
    <w:rsid w:val="00581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Caption"/>
    <w:link w:val="TableCaptionChar"/>
    <w:qFormat/>
    <w:rsid w:val="00B8036A"/>
    <w:pPr>
      <w:spacing w:before="300"/>
      <w:jc w:val="left"/>
    </w:pPr>
  </w:style>
  <w:style w:type="character" w:customStyle="1" w:styleId="CaptionChar">
    <w:name w:val="Caption Char"/>
    <w:aliases w:val="Figure Caption Char"/>
    <w:basedOn w:val="DefaultParagraphFont"/>
    <w:link w:val="Caption"/>
    <w:uiPriority w:val="35"/>
    <w:rsid w:val="006A7156"/>
    <w:rPr>
      <w:color w:val="144166"/>
      <w:sz w:val="20"/>
      <w:szCs w:val="20"/>
    </w:rPr>
  </w:style>
  <w:style w:type="character" w:customStyle="1" w:styleId="TableCaptionChar">
    <w:name w:val="Table Caption Char"/>
    <w:basedOn w:val="CaptionChar"/>
    <w:link w:val="TableCaption"/>
    <w:rsid w:val="00B8036A"/>
    <w:rPr>
      <w:color w:val="144166"/>
      <w:sz w:val="20"/>
      <w:szCs w:val="20"/>
    </w:rPr>
  </w:style>
  <w:style w:type="paragraph" w:styleId="TOCHeading">
    <w:name w:val="TOC Heading"/>
    <w:basedOn w:val="Heading1"/>
    <w:next w:val="Normal"/>
    <w:uiPriority w:val="39"/>
    <w:unhideWhenUsed/>
    <w:rsid w:val="00423BE7"/>
    <w:pPr>
      <w:keepNext/>
      <w:keepLines/>
      <w:pageBreakBefore w:val="0"/>
      <w:numPr>
        <w:numId w:val="0"/>
      </w:numPr>
      <w:spacing w:before="240" w:after="0" w:line="259" w:lineRule="auto"/>
      <w:jc w:val="left"/>
      <w:outlineLvl w:val="9"/>
    </w:pPr>
    <w:rPr>
      <w:rFonts w:asciiTheme="majorHAnsi" w:eastAsiaTheme="majorEastAsia" w:hAnsiTheme="majorHAnsi" w:cstheme="majorBidi"/>
      <w:caps w:val="0"/>
      <w:color w:val="0F4761" w:themeColor="accent1" w:themeShade="BF"/>
      <w:spacing w:val="0"/>
      <w:kern w:val="0"/>
      <w:sz w:val="32"/>
      <w:szCs w:val="32"/>
      <w:lang w:eastAsia="en-GB"/>
      <w14:ligatures w14:val="none"/>
    </w:rPr>
  </w:style>
  <w:style w:type="paragraph" w:styleId="TOC1">
    <w:name w:val="toc 1"/>
    <w:basedOn w:val="Normal"/>
    <w:next w:val="Normal"/>
    <w:autoRedefine/>
    <w:uiPriority w:val="39"/>
    <w:unhideWhenUsed/>
    <w:rsid w:val="00881B9C"/>
    <w:pPr>
      <w:spacing w:before="100" w:after="40"/>
    </w:pPr>
    <w:rPr>
      <w:color w:val="144166"/>
    </w:rPr>
  </w:style>
  <w:style w:type="paragraph" w:styleId="TOC2">
    <w:name w:val="toc 2"/>
    <w:basedOn w:val="Normal"/>
    <w:next w:val="Normal"/>
    <w:autoRedefine/>
    <w:uiPriority w:val="39"/>
    <w:unhideWhenUsed/>
    <w:rsid w:val="00881B9C"/>
    <w:pPr>
      <w:tabs>
        <w:tab w:val="right" w:leader="dot" w:pos="9060"/>
      </w:tabs>
      <w:spacing w:before="0" w:after="40"/>
      <w:ind w:left="567"/>
    </w:pPr>
  </w:style>
  <w:style w:type="paragraph" w:styleId="TOC3">
    <w:name w:val="toc 3"/>
    <w:basedOn w:val="Normal"/>
    <w:next w:val="Normal"/>
    <w:autoRedefine/>
    <w:uiPriority w:val="39"/>
    <w:unhideWhenUsed/>
    <w:rsid w:val="00881B9C"/>
    <w:pPr>
      <w:spacing w:before="0" w:after="40"/>
      <w:ind w:left="709"/>
    </w:pPr>
  </w:style>
  <w:style w:type="character" w:styleId="Hyperlink">
    <w:name w:val="Hyperlink"/>
    <w:basedOn w:val="DefaultParagraphFont"/>
    <w:uiPriority w:val="99"/>
    <w:unhideWhenUsed/>
    <w:rsid w:val="00423BE7"/>
    <w:rPr>
      <w:color w:val="467886" w:themeColor="hyperlink"/>
      <w:u w:val="single"/>
    </w:rPr>
  </w:style>
  <w:style w:type="paragraph" w:customStyle="1" w:styleId="TableNote">
    <w:name w:val="Table Note"/>
    <w:basedOn w:val="FigureNote"/>
    <w:link w:val="TableNoteChar"/>
    <w:qFormat/>
    <w:rsid w:val="00F35233"/>
    <w:pPr>
      <w:spacing w:before="80"/>
      <w:jc w:val="left"/>
    </w:pPr>
  </w:style>
  <w:style w:type="character" w:customStyle="1" w:styleId="TableNoteChar">
    <w:name w:val="Table Note Char"/>
    <w:basedOn w:val="FigureNoteChar"/>
    <w:link w:val="TableNote"/>
    <w:rsid w:val="00F35233"/>
    <w:rPr>
      <w:color w:val="7F7F7F" w:themeColor="text1" w:themeTint="80"/>
      <w:sz w:val="18"/>
      <w:szCs w:val="18"/>
    </w:rPr>
  </w:style>
  <w:style w:type="paragraph" w:customStyle="1" w:styleId="AppendixHeader">
    <w:name w:val="Appendix Header"/>
    <w:basedOn w:val="ListParagraph"/>
    <w:next w:val="AppendixText"/>
    <w:link w:val="AppendixHeaderChar"/>
    <w:qFormat/>
    <w:rsid w:val="003E4A42"/>
    <w:pPr>
      <w:pageBreakBefore/>
      <w:numPr>
        <w:ilvl w:val="0"/>
        <w:numId w:val="8"/>
      </w:numPr>
      <w:spacing w:after="500"/>
      <w:ind w:left="2552" w:hanging="2552"/>
      <w:jc w:val="left"/>
    </w:pPr>
    <w:rPr>
      <w:rFonts w:ascii="Gill Sans MT" w:hAnsi="Gill Sans MT"/>
      <w:caps/>
      <w:color w:val="144166"/>
      <w:spacing w:val="36"/>
      <w:sz w:val="36"/>
    </w:rPr>
  </w:style>
  <w:style w:type="character" w:customStyle="1" w:styleId="AppendixHeaderChar">
    <w:name w:val="Appendix Header Char"/>
    <w:basedOn w:val="ListParagraphChar"/>
    <w:link w:val="AppendixHeader"/>
    <w:rsid w:val="003E4A42"/>
    <w:rPr>
      <w:rFonts w:ascii="Gill Sans MT" w:hAnsi="Gill Sans MT"/>
      <w:caps/>
      <w:color w:val="144166"/>
      <w:spacing w:val="36"/>
      <w:sz w:val="36"/>
    </w:rPr>
  </w:style>
  <w:style w:type="paragraph" w:customStyle="1" w:styleId="AppendixText">
    <w:name w:val="Appendix Text"/>
    <w:basedOn w:val="ListParagraph"/>
    <w:link w:val="AppendixTextChar"/>
    <w:qFormat/>
    <w:rsid w:val="00094004"/>
    <w:pPr>
      <w:numPr>
        <w:numId w:val="8"/>
      </w:numPr>
      <w:ind w:left="0" w:hanging="737"/>
    </w:pPr>
  </w:style>
  <w:style w:type="character" w:customStyle="1" w:styleId="AppendixTextChar">
    <w:name w:val="Appendix Text Char"/>
    <w:basedOn w:val="AppendixHeaderChar"/>
    <w:link w:val="AppendixText"/>
    <w:rsid w:val="00094004"/>
    <w:rPr>
      <w:rFonts w:ascii="Gill Sans MT" w:hAnsi="Gill Sans MT"/>
      <w:caps w:val="0"/>
      <w:color w:val="144166"/>
      <w:spacing w:val="36"/>
      <w:sz w:val="21"/>
    </w:rPr>
  </w:style>
  <w:style w:type="paragraph" w:customStyle="1" w:styleId="BulletList">
    <w:name w:val="Bullet List"/>
    <w:basedOn w:val="Normal"/>
    <w:link w:val="BulletListChar"/>
    <w:qFormat/>
    <w:rsid w:val="00011F65"/>
    <w:pPr>
      <w:numPr>
        <w:ilvl w:val="1"/>
        <w:numId w:val="10"/>
      </w:numPr>
      <w:spacing w:after="200"/>
      <w:ind w:right="522"/>
      <w:contextualSpacing/>
    </w:pPr>
    <w:rPr>
      <w:rFonts w:eastAsia="Times New Roman" w:cs="Calibri"/>
      <w:kern w:val="0"/>
      <w:szCs w:val="21"/>
      <w:lang w:eastAsia="en-GB"/>
      <w14:ligatures w14:val="none"/>
    </w:rPr>
  </w:style>
  <w:style w:type="character" w:customStyle="1" w:styleId="BulletListChar">
    <w:name w:val="Bullet List Char"/>
    <w:basedOn w:val="DefaultParagraphFont"/>
    <w:link w:val="BulletList"/>
    <w:rsid w:val="00011F65"/>
    <w:rPr>
      <w:rFonts w:eastAsia="Times New Roman" w:cs="Calibri"/>
      <w:kern w:val="0"/>
      <w:sz w:val="21"/>
      <w:szCs w:val="21"/>
      <w:lang w:eastAsia="en-GB"/>
      <w14:ligatures w14:val="none"/>
    </w:rPr>
  </w:style>
  <w:style w:type="paragraph" w:customStyle="1" w:styleId="Footnotes">
    <w:name w:val="Footnotes"/>
    <w:basedOn w:val="FootnoteText"/>
    <w:link w:val="FootnotesChar"/>
    <w:qFormat/>
    <w:rsid w:val="00C9114A"/>
    <w:pPr>
      <w:spacing w:before="0"/>
    </w:pPr>
    <w:rPr>
      <w:sz w:val="17"/>
      <w:szCs w:val="18"/>
    </w:rPr>
  </w:style>
  <w:style w:type="character" w:customStyle="1" w:styleId="FootnotesChar">
    <w:name w:val="Footnotes Char"/>
    <w:basedOn w:val="FootnoteTextChar"/>
    <w:link w:val="Footnotes"/>
    <w:rsid w:val="00C9114A"/>
    <w:rPr>
      <w:sz w:val="17"/>
      <w:szCs w:val="18"/>
    </w:rPr>
  </w:style>
  <w:style w:type="character" w:styleId="UnresolvedMention">
    <w:name w:val="Unresolved Mention"/>
    <w:basedOn w:val="DefaultParagraphFont"/>
    <w:uiPriority w:val="99"/>
    <w:semiHidden/>
    <w:unhideWhenUsed/>
    <w:rsid w:val="00EB33B3"/>
    <w:rPr>
      <w:color w:val="605E5C"/>
      <w:shd w:val="clear" w:color="auto" w:fill="E1DFDD"/>
    </w:rPr>
  </w:style>
  <w:style w:type="character" w:styleId="FollowedHyperlink">
    <w:name w:val="FollowedHyperlink"/>
    <w:basedOn w:val="DefaultParagraphFont"/>
    <w:uiPriority w:val="99"/>
    <w:semiHidden/>
    <w:unhideWhenUsed/>
    <w:rsid w:val="008A18AC"/>
    <w:rPr>
      <w:color w:val="96607D" w:themeColor="followedHyperlink"/>
      <w:u w:val="single"/>
    </w:rPr>
  </w:style>
  <w:style w:type="character" w:styleId="CommentReference">
    <w:name w:val="annotation reference"/>
    <w:basedOn w:val="DefaultParagraphFont"/>
    <w:uiPriority w:val="99"/>
    <w:semiHidden/>
    <w:unhideWhenUsed/>
    <w:rsid w:val="00B424F9"/>
    <w:rPr>
      <w:sz w:val="16"/>
      <w:szCs w:val="16"/>
    </w:rPr>
  </w:style>
  <w:style w:type="paragraph" w:styleId="CommentText">
    <w:name w:val="annotation text"/>
    <w:basedOn w:val="Normal"/>
    <w:link w:val="CommentTextChar"/>
    <w:uiPriority w:val="99"/>
    <w:unhideWhenUsed/>
    <w:rsid w:val="00B424F9"/>
    <w:pPr>
      <w:spacing w:line="240" w:lineRule="auto"/>
    </w:pPr>
    <w:rPr>
      <w:sz w:val="20"/>
      <w:szCs w:val="20"/>
    </w:rPr>
  </w:style>
  <w:style w:type="character" w:customStyle="1" w:styleId="CommentTextChar">
    <w:name w:val="Comment Text Char"/>
    <w:basedOn w:val="DefaultParagraphFont"/>
    <w:link w:val="CommentText"/>
    <w:uiPriority w:val="99"/>
    <w:rsid w:val="00B424F9"/>
    <w:rPr>
      <w:sz w:val="20"/>
      <w:szCs w:val="20"/>
    </w:rPr>
  </w:style>
  <w:style w:type="paragraph" w:styleId="Revision">
    <w:name w:val="Revision"/>
    <w:hidden/>
    <w:uiPriority w:val="99"/>
    <w:semiHidden/>
    <w:rsid w:val="002D5585"/>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2E6C81"/>
    <w:rPr>
      <w:b/>
      <w:bCs/>
    </w:rPr>
  </w:style>
  <w:style w:type="character" w:customStyle="1" w:styleId="CommentSubjectChar">
    <w:name w:val="Comment Subject Char"/>
    <w:basedOn w:val="CommentTextChar"/>
    <w:link w:val="CommentSubject"/>
    <w:uiPriority w:val="99"/>
    <w:semiHidden/>
    <w:rsid w:val="002E6C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hyperlink" Target="http://www.edgeanalytic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image" Target="media/image13.sv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hyperlink" Target="http://www.edgeanalytics.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peoplepopulationandcommunity/populationandmigration/internationalmigration/bulletins/longterminternationalmigrationprovisional/yearendingdecember2024" TargetMode="External"/><Relationship Id="rId3" Type="http://schemas.openxmlformats.org/officeDocument/2006/relationships/hyperlink" Target="https://www.carmarthenshire.gov.wales/media/1231118/pop-and-hh-projection-paper-2nd-deposit-complete.pdf" TargetMode="External"/><Relationship Id="rId7" Type="http://schemas.openxmlformats.org/officeDocument/2006/relationships/hyperlink" Target="https://www.ons.gov.uk/peoplepopulationandcommunity/populationandmigration/internationalmigration/bulletins/longterminternationalmigrationprovisional/yearendingjune2023" TargetMode="External"/><Relationship Id="rId2" Type="http://schemas.openxmlformats.org/officeDocument/2006/relationships/hyperlink" Target="https://www.carmarthenshire.gov.wales/media/1231094/2nd-deposit-revised-ldp-written-statement-eng.pdf" TargetMode="External"/><Relationship Id="rId1" Type="http://schemas.openxmlformats.org/officeDocument/2006/relationships/hyperlink" Target="https://carmarthenshire.oc2.uk/document/6" TargetMode="External"/><Relationship Id="rId6" Type="http://schemas.openxmlformats.org/officeDocument/2006/relationships/hyperlink" Target="https://www.ons.gov.uk/peoplepopulationandcommunity/populationandmigration/internationalmigration/bulletins/longterminternationalmigrationprovisional/yearendingjune2024" TargetMode="External"/><Relationship Id="rId5" Type="http://schemas.openxmlformats.org/officeDocument/2006/relationships/hyperlink" Target="https://www.gov.wales/local-authority-population-projections-2022-based-html" TargetMode="External"/><Relationship Id="rId4" Type="http://schemas.openxmlformats.org/officeDocument/2006/relationships/hyperlink" Target="https://www.ons.gov.uk/peoplepopulationandcommunity/populationandmigration/populationprojections/methodologies/nationalpopulationprojectionsfertilityassumptions2022based" TargetMode="External"/><Relationship Id="rId9" Type="http://schemas.openxmlformats.org/officeDocument/2006/relationships/hyperlink" Target="https://www.ons.gov.uk/peoplepopulationandcommunity/populationandmigration/internationalmigration/articles/improvinglongterminternationalmigrationstatisticsupdatingourmethodsandestimates/november20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Rodgers\OneDrive%20-%20Edge%20Analytics%20Ltd\Document%20Template%20(Portrait,%20Dark)%20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fc2a8c7-3b3f-4409-bc78-aa40538e7eb1" xsi:nil="true"/>
    <lcf76f155ced4ddcb4097134ff3c332f xmlns="bcfdd46f-05b7-4168-829e-caf74ca5b04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3AA2AD8B8FFE4C9D0055EBADAE4996" ma:contentTypeVersion="14" ma:contentTypeDescription="Create a new document." ma:contentTypeScope="" ma:versionID="480359e4b358c4e829a9e524c21b8d76">
  <xsd:schema xmlns:xsd="http://www.w3.org/2001/XMLSchema" xmlns:xs="http://www.w3.org/2001/XMLSchema" xmlns:p="http://schemas.microsoft.com/office/2006/metadata/properties" xmlns:ns2="bcfdd46f-05b7-4168-829e-caf74ca5b047" xmlns:ns3="2fc2a8c7-3b3f-4409-bc78-aa40538e7eb1" targetNamespace="http://schemas.microsoft.com/office/2006/metadata/properties" ma:root="true" ma:fieldsID="6468b6d4eb64d142b73132ab2a6a45f2" ns2:_="" ns3:_="">
    <xsd:import namespace="bcfdd46f-05b7-4168-829e-caf74ca5b047"/>
    <xsd:import namespace="2fc2a8c7-3b3f-4409-bc78-aa40538e7eb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dd46f-05b7-4168-829e-caf74ca5b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c2a8c7-3b3f-4409-bc78-aa40538e7eb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71ac39f-555c-4b6e-b645-c72e091a5ac2}" ma:internalName="TaxCatchAll" ma:showField="CatchAllData" ma:web="291defe7-66f3-4918-b04f-d825f4abd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0DBE0-0378-47E0-89B1-CDE3AD565461}">
  <ds:schemaRefs>
    <ds:schemaRef ds:uri="http://schemas.microsoft.com/office/2006/metadata/properties"/>
    <ds:schemaRef ds:uri="http://schemas.microsoft.com/office/infopath/2007/PartnerControls"/>
    <ds:schemaRef ds:uri="44644239-2aec-47e8-b0aa-ce2c774282ef"/>
    <ds:schemaRef ds:uri="bf715d9f-d4ec-49c8-a738-4cfd3d6c1a0c"/>
  </ds:schemaRefs>
</ds:datastoreItem>
</file>

<file path=customXml/itemProps2.xml><?xml version="1.0" encoding="utf-8"?>
<ds:datastoreItem xmlns:ds="http://schemas.openxmlformats.org/officeDocument/2006/customXml" ds:itemID="{FA6B771B-02F5-4C83-B733-8464133F4BC2}">
  <ds:schemaRefs>
    <ds:schemaRef ds:uri="http://schemas.microsoft.com/sharepoint/v3/contenttype/forms"/>
  </ds:schemaRefs>
</ds:datastoreItem>
</file>

<file path=customXml/itemProps3.xml><?xml version="1.0" encoding="utf-8"?>
<ds:datastoreItem xmlns:ds="http://schemas.openxmlformats.org/officeDocument/2006/customXml" ds:itemID="{04309532-2BDA-4C2A-B02E-3799D9D852FA}"/>
</file>

<file path=customXml/itemProps4.xml><?xml version="1.0" encoding="utf-8"?>
<ds:datastoreItem xmlns:ds="http://schemas.openxmlformats.org/officeDocument/2006/customXml" ds:itemID="{31413C93-A1A7-484F-B77B-14515F483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Template (Portrait, Dark) AR</Template>
  <TotalTime>12</TotalTime>
  <Pages>14</Pages>
  <Words>2990</Words>
  <Characters>17296</Characters>
  <Application>Microsoft Office Word</Application>
  <DocSecurity>4</DocSecurity>
  <Lines>355</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20150</CharactersWithSpaces>
  <SharedDoc>false</SharedDoc>
  <HLinks>
    <vt:vector size="138" baseType="variant">
      <vt:variant>
        <vt:i4>1245236</vt:i4>
      </vt:variant>
      <vt:variant>
        <vt:i4>74</vt:i4>
      </vt:variant>
      <vt:variant>
        <vt:i4>0</vt:i4>
      </vt:variant>
      <vt:variant>
        <vt:i4>5</vt:i4>
      </vt:variant>
      <vt:variant>
        <vt:lpwstr/>
      </vt:variant>
      <vt:variant>
        <vt:lpwstr>_Toc220654345</vt:lpwstr>
      </vt:variant>
      <vt:variant>
        <vt:i4>1245236</vt:i4>
      </vt:variant>
      <vt:variant>
        <vt:i4>68</vt:i4>
      </vt:variant>
      <vt:variant>
        <vt:i4>0</vt:i4>
      </vt:variant>
      <vt:variant>
        <vt:i4>5</vt:i4>
      </vt:variant>
      <vt:variant>
        <vt:lpwstr/>
      </vt:variant>
      <vt:variant>
        <vt:lpwstr>_Toc220654344</vt:lpwstr>
      </vt:variant>
      <vt:variant>
        <vt:i4>1245236</vt:i4>
      </vt:variant>
      <vt:variant>
        <vt:i4>62</vt:i4>
      </vt:variant>
      <vt:variant>
        <vt:i4>0</vt:i4>
      </vt:variant>
      <vt:variant>
        <vt:i4>5</vt:i4>
      </vt:variant>
      <vt:variant>
        <vt:lpwstr/>
      </vt:variant>
      <vt:variant>
        <vt:lpwstr>_Toc220654343</vt:lpwstr>
      </vt:variant>
      <vt:variant>
        <vt:i4>1245236</vt:i4>
      </vt:variant>
      <vt:variant>
        <vt:i4>56</vt:i4>
      </vt:variant>
      <vt:variant>
        <vt:i4>0</vt:i4>
      </vt:variant>
      <vt:variant>
        <vt:i4>5</vt:i4>
      </vt:variant>
      <vt:variant>
        <vt:lpwstr/>
      </vt:variant>
      <vt:variant>
        <vt:lpwstr>_Toc220654342</vt:lpwstr>
      </vt:variant>
      <vt:variant>
        <vt:i4>1245236</vt:i4>
      </vt:variant>
      <vt:variant>
        <vt:i4>50</vt:i4>
      </vt:variant>
      <vt:variant>
        <vt:i4>0</vt:i4>
      </vt:variant>
      <vt:variant>
        <vt:i4>5</vt:i4>
      </vt:variant>
      <vt:variant>
        <vt:lpwstr/>
      </vt:variant>
      <vt:variant>
        <vt:lpwstr>_Toc220654341</vt:lpwstr>
      </vt:variant>
      <vt:variant>
        <vt:i4>1245236</vt:i4>
      </vt:variant>
      <vt:variant>
        <vt:i4>44</vt:i4>
      </vt:variant>
      <vt:variant>
        <vt:i4>0</vt:i4>
      </vt:variant>
      <vt:variant>
        <vt:i4>5</vt:i4>
      </vt:variant>
      <vt:variant>
        <vt:lpwstr/>
      </vt:variant>
      <vt:variant>
        <vt:lpwstr>_Toc220654340</vt:lpwstr>
      </vt:variant>
      <vt:variant>
        <vt:i4>1310772</vt:i4>
      </vt:variant>
      <vt:variant>
        <vt:i4>38</vt:i4>
      </vt:variant>
      <vt:variant>
        <vt:i4>0</vt:i4>
      </vt:variant>
      <vt:variant>
        <vt:i4>5</vt:i4>
      </vt:variant>
      <vt:variant>
        <vt:lpwstr/>
      </vt:variant>
      <vt:variant>
        <vt:lpwstr>_Toc220654339</vt:lpwstr>
      </vt:variant>
      <vt:variant>
        <vt:i4>1310772</vt:i4>
      </vt:variant>
      <vt:variant>
        <vt:i4>32</vt:i4>
      </vt:variant>
      <vt:variant>
        <vt:i4>0</vt:i4>
      </vt:variant>
      <vt:variant>
        <vt:i4>5</vt:i4>
      </vt:variant>
      <vt:variant>
        <vt:lpwstr/>
      </vt:variant>
      <vt:variant>
        <vt:lpwstr>_Toc220654338</vt:lpwstr>
      </vt:variant>
      <vt:variant>
        <vt:i4>1310772</vt:i4>
      </vt:variant>
      <vt:variant>
        <vt:i4>26</vt:i4>
      </vt:variant>
      <vt:variant>
        <vt:i4>0</vt:i4>
      </vt:variant>
      <vt:variant>
        <vt:i4>5</vt:i4>
      </vt:variant>
      <vt:variant>
        <vt:lpwstr/>
      </vt:variant>
      <vt:variant>
        <vt:lpwstr>_Toc220654337</vt:lpwstr>
      </vt:variant>
      <vt:variant>
        <vt:i4>1310772</vt:i4>
      </vt:variant>
      <vt:variant>
        <vt:i4>20</vt:i4>
      </vt:variant>
      <vt:variant>
        <vt:i4>0</vt:i4>
      </vt:variant>
      <vt:variant>
        <vt:i4>5</vt:i4>
      </vt:variant>
      <vt:variant>
        <vt:lpwstr/>
      </vt:variant>
      <vt:variant>
        <vt:lpwstr>_Toc220654336</vt:lpwstr>
      </vt:variant>
      <vt:variant>
        <vt:i4>1310772</vt:i4>
      </vt:variant>
      <vt:variant>
        <vt:i4>14</vt:i4>
      </vt:variant>
      <vt:variant>
        <vt:i4>0</vt:i4>
      </vt:variant>
      <vt:variant>
        <vt:i4>5</vt:i4>
      </vt:variant>
      <vt:variant>
        <vt:lpwstr/>
      </vt:variant>
      <vt:variant>
        <vt:lpwstr>_Toc220654335</vt:lpwstr>
      </vt:variant>
      <vt:variant>
        <vt:i4>1310772</vt:i4>
      </vt:variant>
      <vt:variant>
        <vt:i4>8</vt:i4>
      </vt:variant>
      <vt:variant>
        <vt:i4>0</vt:i4>
      </vt:variant>
      <vt:variant>
        <vt:i4>5</vt:i4>
      </vt:variant>
      <vt:variant>
        <vt:lpwstr/>
      </vt:variant>
      <vt:variant>
        <vt:lpwstr>_Toc220654334</vt:lpwstr>
      </vt:variant>
      <vt:variant>
        <vt:i4>1310772</vt:i4>
      </vt:variant>
      <vt:variant>
        <vt:i4>2</vt:i4>
      </vt:variant>
      <vt:variant>
        <vt:i4>0</vt:i4>
      </vt:variant>
      <vt:variant>
        <vt:i4>5</vt:i4>
      </vt:variant>
      <vt:variant>
        <vt:lpwstr/>
      </vt:variant>
      <vt:variant>
        <vt:lpwstr>_Toc220654333</vt:lpwstr>
      </vt:variant>
      <vt:variant>
        <vt:i4>2883687</vt:i4>
      </vt:variant>
      <vt:variant>
        <vt:i4>24</vt:i4>
      </vt:variant>
      <vt:variant>
        <vt:i4>0</vt:i4>
      </vt:variant>
      <vt:variant>
        <vt:i4>5</vt:i4>
      </vt:variant>
      <vt:variant>
        <vt:lpwstr>https://www.ons.gov.uk/peoplepopulationandcommunity/populationandmigration/internationalmigration/articles/improvinglongterminternationalmigrationstatisticsupdatingourmethodsandestimates/november2025</vt:lpwstr>
      </vt:variant>
      <vt:variant>
        <vt:lpwstr/>
      </vt:variant>
      <vt:variant>
        <vt:i4>4849733</vt:i4>
      </vt:variant>
      <vt:variant>
        <vt:i4>21</vt:i4>
      </vt:variant>
      <vt:variant>
        <vt:i4>0</vt:i4>
      </vt:variant>
      <vt:variant>
        <vt:i4>5</vt:i4>
      </vt:variant>
      <vt:variant>
        <vt:lpwstr>https://www.ons.gov.uk/peoplepopulationandcommunity/populationandmigration/internationalmigration/bulletins/longterminternationalmigrationprovisional/yearendingdecember2024</vt:lpwstr>
      </vt:variant>
      <vt:variant>
        <vt:lpwstr/>
      </vt:variant>
      <vt:variant>
        <vt:i4>5046350</vt:i4>
      </vt:variant>
      <vt:variant>
        <vt:i4>18</vt:i4>
      </vt:variant>
      <vt:variant>
        <vt:i4>0</vt:i4>
      </vt:variant>
      <vt:variant>
        <vt:i4>5</vt:i4>
      </vt:variant>
      <vt:variant>
        <vt:lpwstr>https://www.ons.gov.uk/peoplepopulationandcommunity/populationandmigration/internationalmigration/bulletins/longterminternationalmigrationprovisional/yearendingjune2023</vt:lpwstr>
      </vt:variant>
      <vt:variant>
        <vt:lpwstr/>
      </vt:variant>
      <vt:variant>
        <vt:i4>4849742</vt:i4>
      </vt:variant>
      <vt:variant>
        <vt:i4>15</vt:i4>
      </vt:variant>
      <vt:variant>
        <vt:i4>0</vt:i4>
      </vt:variant>
      <vt:variant>
        <vt:i4>5</vt:i4>
      </vt:variant>
      <vt:variant>
        <vt:lpwstr>https://www.ons.gov.uk/peoplepopulationandcommunity/populationandmigration/internationalmigration/bulletins/longterminternationalmigrationprovisional/yearendingjune2024</vt:lpwstr>
      </vt:variant>
      <vt:variant>
        <vt:lpwstr/>
      </vt:variant>
      <vt:variant>
        <vt:i4>4522057</vt:i4>
      </vt:variant>
      <vt:variant>
        <vt:i4>12</vt:i4>
      </vt:variant>
      <vt:variant>
        <vt:i4>0</vt:i4>
      </vt:variant>
      <vt:variant>
        <vt:i4>5</vt:i4>
      </vt:variant>
      <vt:variant>
        <vt:lpwstr>https://www.gov.wales/local-authority-population-projections-2022-based-html</vt:lpwstr>
      </vt:variant>
      <vt:variant>
        <vt:lpwstr/>
      </vt:variant>
      <vt:variant>
        <vt:i4>655427</vt:i4>
      </vt:variant>
      <vt:variant>
        <vt:i4>9</vt:i4>
      </vt:variant>
      <vt:variant>
        <vt:i4>0</vt:i4>
      </vt:variant>
      <vt:variant>
        <vt:i4>5</vt:i4>
      </vt:variant>
      <vt:variant>
        <vt:lpwstr>https://www.ons.gov.uk/peoplepopulationandcommunity/populationandmigration/populationprojections/methodologies/nationalpopulationprojectionsfertilityassumptions2022based</vt:lpwstr>
      </vt:variant>
      <vt:variant>
        <vt:lpwstr/>
      </vt:variant>
      <vt:variant>
        <vt:i4>5767187</vt:i4>
      </vt:variant>
      <vt:variant>
        <vt:i4>6</vt:i4>
      </vt:variant>
      <vt:variant>
        <vt:i4>0</vt:i4>
      </vt:variant>
      <vt:variant>
        <vt:i4>5</vt:i4>
      </vt:variant>
      <vt:variant>
        <vt:lpwstr>https://www.carmarthenshire.gov.wales/media/1231118/pop-and-hh-projection-paper-2nd-deposit-complete.pdf</vt:lpwstr>
      </vt:variant>
      <vt:variant>
        <vt:lpwstr/>
      </vt:variant>
      <vt:variant>
        <vt:i4>1835027</vt:i4>
      </vt:variant>
      <vt:variant>
        <vt:i4>3</vt:i4>
      </vt:variant>
      <vt:variant>
        <vt:i4>0</vt:i4>
      </vt:variant>
      <vt:variant>
        <vt:i4>5</vt:i4>
      </vt:variant>
      <vt:variant>
        <vt:lpwstr>https://www.carmarthenshire.gov.wales/media/1231094/2nd-deposit-revised-ldp-written-statement-eng.pdf</vt:lpwstr>
      </vt:variant>
      <vt:variant>
        <vt:lpwstr/>
      </vt:variant>
      <vt:variant>
        <vt:i4>5242962</vt:i4>
      </vt:variant>
      <vt:variant>
        <vt:i4>0</vt:i4>
      </vt:variant>
      <vt:variant>
        <vt:i4>0</vt:i4>
      </vt:variant>
      <vt:variant>
        <vt:i4>5</vt:i4>
      </vt:variant>
      <vt:variant>
        <vt:lpwstr>https://carmarthenshire.oc2.uk/document/6</vt:lpwstr>
      </vt:variant>
      <vt:variant>
        <vt:lpwstr/>
      </vt:variant>
      <vt:variant>
        <vt:i4>7078000</vt:i4>
      </vt:variant>
      <vt:variant>
        <vt:i4>0</vt:i4>
      </vt:variant>
      <vt:variant>
        <vt:i4>0</vt:i4>
      </vt:variant>
      <vt:variant>
        <vt:i4>5</vt:i4>
      </vt:variant>
      <vt:variant>
        <vt:lpwstr>http://www.edgeanalytics.co.uk/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Rodgers</dc:creator>
  <cp:keywords/>
  <dc:description/>
  <cp:lastModifiedBy>Simon Clement</cp:lastModifiedBy>
  <cp:revision>2</cp:revision>
  <cp:lastPrinted>2026-01-30T09:37:00Z</cp:lastPrinted>
  <dcterms:created xsi:type="dcterms:W3CDTF">2026-02-17T13:10:00Z</dcterms:created>
  <dcterms:modified xsi:type="dcterms:W3CDTF">2026-02-17T13:10:00Z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0x010100A43AA2AD8B8FFE4C9D0055EBADAE4996</vt:lpwstr>
  </property>
  <property fmtid="{D5CDD505-2E9C-101B-9397-08002B2CF9AE}" pid="3" name="MediaServiceImageTags">
    <vt:lpwstr/>
  </property>
  <property fmtid="{D5CDD505-2E9C-101B-9397-08002B2CF9AE}" pid="4" name="_ExtendedDescription">
    <vt:lpwstr/>
  </property>
  <property fmtid="{D5CDD505-2E9C-101B-9397-08002B2CF9AE}" pid="5" name="Order">
    <vt:r8>90376200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TriggerFlowInfo">
    <vt:lpwstr/>
  </property>
</Properties>
</file>