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FBFD8" w14:textId="77777777" w:rsidR="004C7B77" w:rsidRDefault="004C7B77" w:rsidP="004C7B77">
      <w:pPr>
        <w:jc w:val="center"/>
        <w:rPr>
          <w:b/>
          <w:bCs/>
        </w:rPr>
      </w:pPr>
      <w:r w:rsidRPr="009F4F70">
        <w:rPr>
          <w:b/>
          <w:bCs/>
        </w:rPr>
        <w:t>CARMARTHENSHIRE</w:t>
      </w:r>
    </w:p>
    <w:p w14:paraId="132FB2C3" w14:textId="77777777" w:rsidR="004C7B77" w:rsidRDefault="004C7B77" w:rsidP="004C7B77">
      <w:pPr>
        <w:jc w:val="center"/>
        <w:rPr>
          <w:b/>
          <w:bCs/>
        </w:rPr>
      </w:pPr>
      <w:r w:rsidRPr="009F4F70">
        <w:rPr>
          <w:b/>
          <w:bCs/>
        </w:rPr>
        <w:t>REVISED LOCAL DEVELOPMENT PLAN (2018-2033)</w:t>
      </w:r>
    </w:p>
    <w:p w14:paraId="27E9AEE5" w14:textId="77777777" w:rsidR="004C7B77" w:rsidRDefault="004C7B77" w:rsidP="004C7B77">
      <w:pPr>
        <w:jc w:val="center"/>
        <w:rPr>
          <w:b/>
          <w:bCs/>
        </w:rPr>
      </w:pPr>
      <w:r w:rsidRPr="009F4F70">
        <w:rPr>
          <w:b/>
          <w:bCs/>
        </w:rPr>
        <w:t>EXAMINATION</w:t>
      </w:r>
    </w:p>
    <w:p w14:paraId="4AE748AE" w14:textId="77777777" w:rsidR="004C7B77" w:rsidRDefault="004C7B77" w:rsidP="004C7B77">
      <w:pPr>
        <w:pBdr>
          <w:bottom w:val="single" w:sz="4" w:space="1" w:color="auto"/>
        </w:pBdr>
        <w:jc w:val="center"/>
        <w:rPr>
          <w:b/>
          <w:bCs/>
        </w:rPr>
      </w:pPr>
    </w:p>
    <w:p w14:paraId="25DC0B9C" w14:textId="0F6BAD26" w:rsidR="004C7B77" w:rsidRDefault="004C7B77" w:rsidP="004C7B77">
      <w:pPr>
        <w:jc w:val="center"/>
        <w:rPr>
          <w:b/>
          <w:bCs/>
        </w:rPr>
      </w:pPr>
      <w:r>
        <w:rPr>
          <w:b/>
          <w:bCs/>
        </w:rPr>
        <w:t xml:space="preserve">Hearing Session </w:t>
      </w:r>
      <w:r w:rsidR="00D07232">
        <w:rPr>
          <w:b/>
          <w:bCs/>
        </w:rPr>
        <w:t>3</w:t>
      </w:r>
      <w:r>
        <w:rPr>
          <w:b/>
          <w:bCs/>
        </w:rPr>
        <w:t xml:space="preserve"> – </w:t>
      </w:r>
      <w:r w:rsidR="00D07232" w:rsidRPr="00081D8B">
        <w:rPr>
          <w:b/>
          <w:bCs/>
        </w:rPr>
        <w:t xml:space="preserve">Prosperous people and Places – Affordable Housing and </w:t>
      </w:r>
      <w:r w:rsidR="00D07232" w:rsidRPr="00081D8B">
        <w:rPr>
          <w:b/>
          <w:bCs/>
          <w:shd w:val="clear" w:color="auto" w:fill="FFFFFF"/>
        </w:rPr>
        <w:t>Gypsy and Traveller Provision</w:t>
      </w:r>
    </w:p>
    <w:p w14:paraId="5310E347" w14:textId="563530AB" w:rsidR="004C7B77" w:rsidRDefault="00D07232" w:rsidP="004C7B77">
      <w:pPr>
        <w:jc w:val="center"/>
        <w:rPr>
          <w:b/>
          <w:bCs/>
        </w:rPr>
      </w:pPr>
      <w:r>
        <w:rPr>
          <w:b/>
          <w:bCs/>
        </w:rPr>
        <w:t>Thursday</w:t>
      </w:r>
      <w:r w:rsidR="004C7B77">
        <w:rPr>
          <w:b/>
          <w:bCs/>
        </w:rPr>
        <w:t>, 1</w:t>
      </w:r>
      <w:r>
        <w:rPr>
          <w:b/>
          <w:bCs/>
        </w:rPr>
        <w:t>7</w:t>
      </w:r>
      <w:r w:rsidR="004C7B77">
        <w:rPr>
          <w:b/>
          <w:bCs/>
        </w:rPr>
        <w:t xml:space="preserve"> October 2024 between 10:00 and 17:00</w:t>
      </w:r>
    </w:p>
    <w:p w14:paraId="23F9F744" w14:textId="77777777" w:rsidR="004C7B77" w:rsidRDefault="004C7B77"/>
    <w:tbl>
      <w:tblPr>
        <w:tblStyle w:val="TableGrid"/>
        <w:tblW w:w="14170" w:type="dxa"/>
        <w:tblLook w:val="04A0" w:firstRow="1" w:lastRow="0" w:firstColumn="1" w:lastColumn="0" w:noHBand="0" w:noVBand="1"/>
      </w:tblPr>
      <w:tblGrid>
        <w:gridCol w:w="1696"/>
        <w:gridCol w:w="7621"/>
        <w:gridCol w:w="4853"/>
      </w:tblGrid>
      <w:tr w:rsidR="00AD2642" w14:paraId="33A10997" w14:textId="77777777" w:rsidTr="00AD2642">
        <w:tc>
          <w:tcPr>
            <w:tcW w:w="1696" w:type="dxa"/>
            <w:shd w:val="clear" w:color="auto" w:fill="000000" w:themeFill="text1"/>
          </w:tcPr>
          <w:p w14:paraId="773A5E5E" w14:textId="371C67C8" w:rsidR="00AD2642" w:rsidRPr="004C7B77" w:rsidRDefault="00AD2642">
            <w:pPr>
              <w:rPr>
                <w:color w:val="FFFFFF" w:themeColor="background1"/>
              </w:rPr>
            </w:pPr>
            <w:r w:rsidRPr="004C7B77">
              <w:rPr>
                <w:color w:val="FFFFFF" w:themeColor="background1"/>
              </w:rPr>
              <w:t>Action Point</w:t>
            </w:r>
          </w:p>
        </w:tc>
        <w:tc>
          <w:tcPr>
            <w:tcW w:w="7621" w:type="dxa"/>
            <w:shd w:val="clear" w:color="auto" w:fill="000000" w:themeFill="text1"/>
          </w:tcPr>
          <w:p w14:paraId="15433144" w14:textId="4A0A3DB6" w:rsidR="00AD2642" w:rsidRPr="004C7B77" w:rsidRDefault="00AD2642">
            <w:pPr>
              <w:rPr>
                <w:color w:val="FFFFFF" w:themeColor="background1"/>
              </w:rPr>
            </w:pPr>
            <w:r w:rsidRPr="004C7B77">
              <w:rPr>
                <w:color w:val="FFFFFF" w:themeColor="background1"/>
              </w:rPr>
              <w:t>Council Response / Proposed MAC</w:t>
            </w:r>
          </w:p>
        </w:tc>
        <w:tc>
          <w:tcPr>
            <w:tcW w:w="4853" w:type="dxa"/>
            <w:shd w:val="clear" w:color="auto" w:fill="000000" w:themeFill="text1"/>
          </w:tcPr>
          <w:p w14:paraId="46A48139" w14:textId="05B1AC53" w:rsidR="00AD2642" w:rsidRPr="004C7B77" w:rsidRDefault="00AD2642">
            <w:pPr>
              <w:rPr>
                <w:color w:val="FFFFFF" w:themeColor="background1"/>
              </w:rPr>
            </w:pPr>
            <w:r w:rsidRPr="004C7B77">
              <w:rPr>
                <w:color w:val="FFFFFF" w:themeColor="background1"/>
              </w:rPr>
              <w:t>Inspector’s Comments</w:t>
            </w:r>
          </w:p>
        </w:tc>
      </w:tr>
      <w:tr w:rsidR="00AD2642" w14:paraId="13963916" w14:textId="77777777" w:rsidTr="00AD2642">
        <w:tc>
          <w:tcPr>
            <w:tcW w:w="1696" w:type="dxa"/>
          </w:tcPr>
          <w:p w14:paraId="43F9C53D" w14:textId="5E4E9C3C" w:rsidR="00AD2642" w:rsidRDefault="00AD2642" w:rsidP="00CF49E9">
            <w:r w:rsidRPr="00CA2AC1">
              <w:rPr>
                <w:rFonts w:ascii="Arial" w:hAnsi="Arial" w:cs="Arial"/>
                <w:b/>
                <w:bCs/>
              </w:rPr>
              <w:t>AP</w:t>
            </w:r>
            <w:r>
              <w:rPr>
                <w:rFonts w:ascii="Arial" w:hAnsi="Arial" w:cs="Arial"/>
                <w:b/>
                <w:bCs/>
              </w:rPr>
              <w:t>3</w:t>
            </w:r>
            <w:r w:rsidRPr="00CA2AC1">
              <w:rPr>
                <w:rFonts w:ascii="Arial" w:hAnsi="Arial" w:cs="Arial"/>
                <w:b/>
                <w:bCs/>
              </w:rPr>
              <w:t>/1</w:t>
            </w:r>
          </w:p>
        </w:tc>
        <w:tc>
          <w:tcPr>
            <w:tcW w:w="7621" w:type="dxa"/>
          </w:tcPr>
          <w:p w14:paraId="331CADCE" w14:textId="77777777" w:rsidR="00C23996" w:rsidRPr="00C23996" w:rsidRDefault="00C23996" w:rsidP="00CF49E9">
            <w:pPr>
              <w:rPr>
                <w:rFonts w:ascii="Arial" w:hAnsi="Arial" w:cs="Arial"/>
                <w:b/>
                <w:bCs/>
              </w:rPr>
            </w:pPr>
            <w:r w:rsidRPr="00C23996">
              <w:rPr>
                <w:rFonts w:ascii="Arial" w:hAnsi="Arial" w:cs="Arial"/>
                <w:b/>
                <w:bCs/>
              </w:rPr>
              <w:t>August 25</w:t>
            </w:r>
          </w:p>
          <w:p w14:paraId="173E13B4" w14:textId="1D760B21" w:rsidR="00703266" w:rsidRDefault="00703266" w:rsidP="00CF49E9">
            <w:pPr>
              <w:rPr>
                <w:rFonts w:ascii="Arial" w:hAnsi="Arial" w:cs="Arial"/>
              </w:rPr>
            </w:pPr>
            <w:r>
              <w:rPr>
                <w:rFonts w:ascii="Arial" w:hAnsi="Arial" w:cs="Arial"/>
              </w:rPr>
              <w:t xml:space="preserve">Further to the Inspectors’ request in July 2025 to amend the housing supply figure and the spatial distribution table </w:t>
            </w:r>
            <w:proofErr w:type="gramStart"/>
            <w:r>
              <w:rPr>
                <w:rFonts w:ascii="Arial" w:hAnsi="Arial" w:cs="Arial"/>
              </w:rPr>
              <w:t>in light of</w:t>
            </w:r>
            <w:proofErr w:type="gramEnd"/>
            <w:r>
              <w:rPr>
                <w:rFonts w:ascii="Arial" w:hAnsi="Arial" w:cs="Arial"/>
              </w:rPr>
              <w:t xml:space="preserve"> the additional sites</w:t>
            </w:r>
            <w:r w:rsidR="00EF3904">
              <w:rPr>
                <w:rFonts w:ascii="Arial" w:hAnsi="Arial" w:cs="Arial"/>
              </w:rPr>
              <w:t>,</w:t>
            </w:r>
            <w:r>
              <w:rPr>
                <w:rFonts w:ascii="Arial" w:hAnsi="Arial" w:cs="Arial"/>
              </w:rPr>
              <w:t xml:space="preserve"> and </w:t>
            </w:r>
            <w:r w:rsidR="00C23996">
              <w:rPr>
                <w:rFonts w:ascii="Arial" w:hAnsi="Arial" w:cs="Arial"/>
              </w:rPr>
              <w:t xml:space="preserve">housing </w:t>
            </w:r>
            <w:r>
              <w:rPr>
                <w:rFonts w:ascii="Arial" w:hAnsi="Arial" w:cs="Arial"/>
              </w:rPr>
              <w:t>data from the year 2024/25 the following update to Policy SP5 can be considered.</w:t>
            </w:r>
          </w:p>
          <w:p w14:paraId="1FAC5D40" w14:textId="77777777" w:rsidR="00703266" w:rsidRDefault="00703266" w:rsidP="00CF49E9">
            <w:pPr>
              <w:rPr>
                <w:rFonts w:ascii="Arial" w:hAnsi="Arial" w:cs="Arial"/>
              </w:rPr>
            </w:pPr>
          </w:p>
          <w:p w14:paraId="7E7D61B2" w14:textId="44F68DE6" w:rsidR="00AD2642" w:rsidRDefault="00703266" w:rsidP="00CF49E9">
            <w:pPr>
              <w:rPr>
                <w:rFonts w:ascii="Arial" w:hAnsi="Arial" w:cs="Arial"/>
              </w:rPr>
            </w:pPr>
            <w:r>
              <w:rPr>
                <w:rFonts w:ascii="Arial" w:hAnsi="Arial" w:cs="Arial"/>
              </w:rPr>
              <w:t xml:space="preserve">It is also important to note the following amendments following </w:t>
            </w:r>
            <w:r w:rsidR="00AD2642">
              <w:rPr>
                <w:rFonts w:ascii="Arial" w:hAnsi="Arial" w:cs="Arial"/>
              </w:rPr>
              <w:t>the site hearing sessions</w:t>
            </w:r>
            <w:r>
              <w:rPr>
                <w:rFonts w:ascii="Arial" w:hAnsi="Arial" w:cs="Arial"/>
              </w:rPr>
              <w:t>.</w:t>
            </w:r>
            <w:r w:rsidR="00AD2642">
              <w:rPr>
                <w:rFonts w:ascii="Arial" w:hAnsi="Arial" w:cs="Arial"/>
              </w:rPr>
              <w:t xml:space="preserve"> </w:t>
            </w:r>
          </w:p>
          <w:p w14:paraId="1A2E126B" w14:textId="77777777" w:rsidR="00AD2642" w:rsidRDefault="00AD2642" w:rsidP="00CF49E9">
            <w:pPr>
              <w:rPr>
                <w:rFonts w:ascii="Arial" w:hAnsi="Arial" w:cs="Arial"/>
              </w:rPr>
            </w:pPr>
          </w:p>
          <w:p w14:paraId="1DA9BC79" w14:textId="77777777" w:rsidR="00AD2642" w:rsidRPr="008C52BA" w:rsidRDefault="00AD2642" w:rsidP="008C52BA">
            <w:pPr>
              <w:rPr>
                <w:rFonts w:ascii="Arial" w:hAnsi="Arial" w:cs="Arial"/>
              </w:rPr>
            </w:pPr>
            <w:r w:rsidRPr="008C52BA">
              <w:rPr>
                <w:rFonts w:ascii="Arial" w:hAnsi="Arial" w:cs="Arial"/>
              </w:rPr>
              <w:t>The two changes include:</w:t>
            </w:r>
          </w:p>
          <w:p w14:paraId="13B037FD" w14:textId="77777777" w:rsidR="00AD2642" w:rsidRPr="008C52BA" w:rsidRDefault="00AD2642" w:rsidP="008C52BA">
            <w:pPr>
              <w:rPr>
                <w:rFonts w:ascii="Arial" w:hAnsi="Arial" w:cs="Arial"/>
              </w:rPr>
            </w:pPr>
          </w:p>
          <w:p w14:paraId="6A60AA11" w14:textId="445A73FB" w:rsidR="00AD2642" w:rsidRPr="008C52BA" w:rsidRDefault="00AD2642" w:rsidP="008C52BA">
            <w:pPr>
              <w:rPr>
                <w:rFonts w:ascii="Arial" w:hAnsi="Arial" w:cs="Arial"/>
              </w:rPr>
            </w:pPr>
            <w:r w:rsidRPr="008C52BA">
              <w:rPr>
                <w:rFonts w:ascii="Arial" w:hAnsi="Arial" w:cs="Arial"/>
              </w:rPr>
              <w:t xml:space="preserve">Emlyn Brickworks PrC3/MU1 – Change from 44.25 affordable units to 33.75 affordable units. This is to reflect 7 units on the land with planning permission for 70 dwellings and the remaining land for 107 dwellings (25% AH targets). The calculation was initially the 25% affordable target </w:t>
            </w:r>
            <w:proofErr w:type="gramStart"/>
            <w:r w:rsidRPr="008C52BA">
              <w:rPr>
                <w:rFonts w:ascii="Arial" w:hAnsi="Arial" w:cs="Arial"/>
              </w:rPr>
              <w:t>on the whole</w:t>
            </w:r>
            <w:proofErr w:type="gramEnd"/>
            <w:r w:rsidRPr="008C52BA">
              <w:rPr>
                <w:rFonts w:ascii="Arial" w:hAnsi="Arial" w:cs="Arial"/>
              </w:rPr>
              <w:t xml:space="preserve"> 177 units identified in policy HOM1.</w:t>
            </w:r>
          </w:p>
          <w:p w14:paraId="1969411E" w14:textId="77777777" w:rsidR="00AD2642" w:rsidRPr="008C52BA" w:rsidRDefault="00AD2642" w:rsidP="008C52BA">
            <w:pPr>
              <w:rPr>
                <w:rFonts w:ascii="Arial" w:hAnsi="Arial" w:cs="Arial"/>
              </w:rPr>
            </w:pPr>
          </w:p>
          <w:p w14:paraId="75F3E7CC" w14:textId="61CB4F75" w:rsidR="00AD2642" w:rsidRPr="008C52BA" w:rsidRDefault="00AD2642" w:rsidP="008C52BA">
            <w:pPr>
              <w:rPr>
                <w:rFonts w:ascii="Arial" w:hAnsi="Arial" w:cs="Arial"/>
              </w:rPr>
            </w:pPr>
            <w:proofErr w:type="spellStart"/>
            <w:r w:rsidRPr="008C52BA">
              <w:rPr>
                <w:rFonts w:ascii="Arial" w:hAnsi="Arial" w:cs="Arial"/>
              </w:rPr>
              <w:lastRenderedPageBreak/>
              <w:t>Llangain</w:t>
            </w:r>
            <w:proofErr w:type="spellEnd"/>
            <w:r w:rsidRPr="008C52BA">
              <w:rPr>
                <w:rFonts w:ascii="Arial" w:hAnsi="Arial" w:cs="Arial"/>
              </w:rPr>
              <w:t xml:space="preserve"> – SuV8/h1 – </w:t>
            </w:r>
            <w:r>
              <w:rPr>
                <w:rFonts w:ascii="Arial" w:hAnsi="Arial" w:cs="Arial"/>
              </w:rPr>
              <w:t>The developer is on site</w:t>
            </w:r>
            <w:r w:rsidRPr="008C52BA">
              <w:rPr>
                <w:rFonts w:ascii="Arial" w:hAnsi="Arial" w:cs="Arial"/>
              </w:rPr>
              <w:t xml:space="preserve">. They are constructing 27 </w:t>
            </w:r>
            <w:r>
              <w:rPr>
                <w:rFonts w:ascii="Arial" w:hAnsi="Arial" w:cs="Arial"/>
              </w:rPr>
              <w:t>affordable</w:t>
            </w:r>
            <w:r w:rsidRPr="008C52BA">
              <w:rPr>
                <w:rFonts w:ascii="Arial" w:hAnsi="Arial" w:cs="Arial"/>
              </w:rPr>
              <w:t xml:space="preserve"> units within the 36-dwelling scheme. It had previously been calculated as 10.8 AH units – which comes from the 30% AH target considered with the initial outline permission.</w:t>
            </w:r>
          </w:p>
          <w:p w14:paraId="55CE231F" w14:textId="3994E2BC" w:rsidR="00AD2642" w:rsidRDefault="00AD2642" w:rsidP="00CF49E9">
            <w:pPr>
              <w:rPr>
                <w:rFonts w:ascii="Arial" w:hAnsi="Arial" w:cs="Arial"/>
              </w:rPr>
            </w:pPr>
          </w:p>
          <w:p w14:paraId="6679F71C" w14:textId="6EFC7428" w:rsidR="00AD2642" w:rsidRPr="00754BA3" w:rsidRDefault="00AD2642" w:rsidP="00754BA3">
            <w:pPr>
              <w:rPr>
                <w:rFonts w:ascii="Arial" w:hAnsi="Arial" w:cs="Arial"/>
              </w:rPr>
            </w:pPr>
            <w:r w:rsidRPr="00754BA3">
              <w:rPr>
                <w:rFonts w:ascii="Arial" w:hAnsi="Arial" w:cs="Arial"/>
              </w:rPr>
              <w:t xml:space="preserve">Policy SP5 would require a consequential change from the provision of the target of 1,930 affordable homes presented in the examination session to </w:t>
            </w:r>
            <w:r w:rsidR="00703266" w:rsidRPr="00703266">
              <w:rPr>
                <w:rFonts w:ascii="Arial" w:hAnsi="Arial" w:cs="Arial"/>
                <w:b/>
                <w:bCs/>
                <w:color w:val="4EA72E" w:themeColor="accent6"/>
              </w:rPr>
              <w:t>2</w:t>
            </w:r>
            <w:r w:rsidR="00703266">
              <w:rPr>
                <w:rFonts w:ascii="Arial" w:hAnsi="Arial" w:cs="Arial"/>
                <w:b/>
                <w:bCs/>
                <w:color w:val="4EA72E" w:themeColor="accent6"/>
              </w:rPr>
              <w:t>,</w:t>
            </w:r>
            <w:r w:rsidR="00703266" w:rsidRPr="00703266">
              <w:rPr>
                <w:rFonts w:ascii="Arial" w:hAnsi="Arial" w:cs="Arial"/>
                <w:b/>
                <w:bCs/>
                <w:color w:val="4EA72E" w:themeColor="accent6"/>
              </w:rPr>
              <w:t>111</w:t>
            </w:r>
            <w:r w:rsidRPr="00703266">
              <w:rPr>
                <w:rFonts w:ascii="Arial" w:hAnsi="Arial" w:cs="Arial"/>
                <w:color w:val="4EA72E" w:themeColor="accent6"/>
              </w:rPr>
              <w:t xml:space="preserve"> </w:t>
            </w:r>
            <w:r w:rsidRPr="00754BA3">
              <w:rPr>
                <w:rFonts w:ascii="Arial" w:hAnsi="Arial" w:cs="Arial"/>
              </w:rPr>
              <w:t xml:space="preserve">affordable homes following the </w:t>
            </w:r>
            <w:r w:rsidR="00703266">
              <w:rPr>
                <w:rFonts w:ascii="Arial" w:hAnsi="Arial" w:cs="Arial"/>
              </w:rPr>
              <w:t xml:space="preserve">August 2025 </w:t>
            </w:r>
            <w:r w:rsidRPr="00754BA3">
              <w:rPr>
                <w:rFonts w:ascii="Arial" w:hAnsi="Arial" w:cs="Arial"/>
              </w:rPr>
              <w:t xml:space="preserve">update. The new breakdown is </w:t>
            </w:r>
            <w:r>
              <w:rPr>
                <w:rFonts w:ascii="Arial" w:hAnsi="Arial" w:cs="Arial"/>
              </w:rPr>
              <w:t xml:space="preserve">shown </w:t>
            </w:r>
            <w:r w:rsidRPr="00754BA3">
              <w:rPr>
                <w:rFonts w:ascii="Arial" w:hAnsi="Arial" w:cs="Arial"/>
              </w:rPr>
              <w:t>below,</w:t>
            </w:r>
            <w:r>
              <w:rPr>
                <w:rFonts w:ascii="Arial" w:hAnsi="Arial" w:cs="Arial"/>
              </w:rPr>
              <w:t xml:space="preserve"> and consequential amendments made to the </w:t>
            </w:r>
            <w:r w:rsidR="004208B7">
              <w:rPr>
                <w:rFonts w:ascii="Arial" w:hAnsi="Arial" w:cs="Arial"/>
              </w:rPr>
              <w:t xml:space="preserve">allocation </w:t>
            </w:r>
            <w:r>
              <w:rPr>
                <w:rFonts w:ascii="Arial" w:hAnsi="Arial" w:cs="Arial"/>
              </w:rPr>
              <w:t xml:space="preserve">table within Policy HOM1. </w:t>
            </w:r>
          </w:p>
          <w:p w14:paraId="7009E834" w14:textId="77777777" w:rsidR="00AD2642" w:rsidRPr="00754BA3" w:rsidRDefault="00AD2642" w:rsidP="00754BA3">
            <w:pPr>
              <w:rPr>
                <w:rFonts w:ascii="Arial" w:hAnsi="Arial" w:cs="Arial"/>
              </w:rPr>
            </w:pPr>
          </w:p>
          <w:tbl>
            <w:tblPr>
              <w:tblW w:w="5138" w:type="dxa"/>
              <w:tblCellMar>
                <w:left w:w="0" w:type="dxa"/>
                <w:right w:w="0" w:type="dxa"/>
              </w:tblCellMar>
              <w:tblLook w:val="04A0" w:firstRow="1" w:lastRow="0" w:firstColumn="1" w:lastColumn="0" w:noHBand="0" w:noVBand="1"/>
            </w:tblPr>
            <w:tblGrid>
              <w:gridCol w:w="2540"/>
              <w:gridCol w:w="2598"/>
            </w:tblGrid>
            <w:tr w:rsidR="00AD2642" w:rsidRPr="00754BA3" w14:paraId="0A63205C" w14:textId="77777777" w:rsidTr="00703266">
              <w:trPr>
                <w:trHeight w:val="300"/>
              </w:trPr>
              <w:tc>
                <w:tcPr>
                  <w:tcW w:w="2540" w:type="dxa"/>
                  <w:noWrap/>
                  <w:tcMar>
                    <w:top w:w="0" w:type="dxa"/>
                    <w:left w:w="108" w:type="dxa"/>
                    <w:bottom w:w="0" w:type="dxa"/>
                    <w:right w:w="108" w:type="dxa"/>
                  </w:tcMar>
                  <w:vAlign w:val="bottom"/>
                  <w:hideMark/>
                </w:tcPr>
                <w:p w14:paraId="471DF678" w14:textId="77777777" w:rsidR="00AD2642" w:rsidRPr="00754BA3" w:rsidRDefault="00AD2642" w:rsidP="00754BA3">
                  <w:pPr>
                    <w:spacing w:after="0" w:line="240" w:lineRule="auto"/>
                    <w:rPr>
                      <w:rFonts w:ascii="Arial" w:hAnsi="Arial" w:cs="Arial"/>
                    </w:rPr>
                  </w:pPr>
                </w:p>
              </w:tc>
              <w:tc>
                <w:tcPr>
                  <w:tcW w:w="259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38542DE" w14:textId="77777777" w:rsidR="00AD2642" w:rsidRPr="00754BA3" w:rsidRDefault="00AD2642" w:rsidP="00754BA3">
                  <w:pPr>
                    <w:spacing w:after="0" w:line="240" w:lineRule="auto"/>
                    <w:rPr>
                      <w:rFonts w:ascii="Arial" w:hAnsi="Arial" w:cs="Arial"/>
                    </w:rPr>
                  </w:pPr>
                  <w:r w:rsidRPr="00754BA3">
                    <w:rPr>
                      <w:rFonts w:ascii="Arial" w:hAnsi="Arial" w:cs="Arial"/>
                    </w:rPr>
                    <w:t>Affordable Units</w:t>
                  </w:r>
                </w:p>
              </w:tc>
            </w:tr>
            <w:tr w:rsidR="00AD2642" w:rsidRPr="00754BA3" w14:paraId="5A924355" w14:textId="77777777" w:rsidTr="00703266">
              <w:trPr>
                <w:trHeight w:val="300"/>
              </w:trPr>
              <w:tc>
                <w:tcPr>
                  <w:tcW w:w="25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7DD1781" w14:textId="77777777" w:rsidR="00AD2642" w:rsidRPr="00754BA3" w:rsidRDefault="00AD2642" w:rsidP="00754BA3">
                  <w:pPr>
                    <w:spacing w:after="0" w:line="240" w:lineRule="auto"/>
                    <w:rPr>
                      <w:rFonts w:ascii="Arial" w:hAnsi="Arial" w:cs="Arial"/>
                    </w:rPr>
                  </w:pPr>
                  <w:r w:rsidRPr="00754BA3">
                    <w:rPr>
                      <w:rFonts w:ascii="Arial" w:hAnsi="Arial" w:cs="Arial"/>
                    </w:rPr>
                    <w:t>Cluster 1</w:t>
                  </w:r>
                </w:p>
              </w:tc>
              <w:tc>
                <w:tcPr>
                  <w:tcW w:w="259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7DB7E8A" w14:textId="294FA9BE" w:rsidR="00AD2642" w:rsidRPr="00703266" w:rsidRDefault="00AD2642" w:rsidP="00754BA3">
                  <w:pPr>
                    <w:spacing w:after="0" w:line="240" w:lineRule="auto"/>
                    <w:rPr>
                      <w:rFonts w:ascii="Arial" w:hAnsi="Arial" w:cs="Arial"/>
                      <w:strike/>
                    </w:rPr>
                  </w:pPr>
                  <w:r w:rsidRPr="00703266">
                    <w:rPr>
                      <w:rFonts w:ascii="Arial" w:hAnsi="Arial" w:cs="Arial"/>
                      <w:strike/>
                      <w:color w:val="FF0000"/>
                    </w:rPr>
                    <w:t>381.11</w:t>
                  </w:r>
                  <w:r w:rsidR="00703266" w:rsidRPr="00703266">
                    <w:rPr>
                      <w:rFonts w:ascii="Arial" w:hAnsi="Arial" w:cs="Arial"/>
                      <w:color w:val="FF0000"/>
                    </w:rPr>
                    <w:t xml:space="preserve">   </w:t>
                  </w:r>
                  <w:r w:rsidR="00703266" w:rsidRPr="00703266">
                    <w:rPr>
                      <w:rFonts w:ascii="Arial" w:hAnsi="Arial" w:cs="Arial"/>
                      <w:color w:val="4EA72E" w:themeColor="accent6"/>
                    </w:rPr>
                    <w:t>388.61</w:t>
                  </w:r>
                </w:p>
              </w:tc>
            </w:tr>
            <w:tr w:rsidR="00AD2642" w:rsidRPr="00754BA3" w14:paraId="03D9CCAD" w14:textId="77777777" w:rsidTr="00703266">
              <w:trPr>
                <w:trHeight w:val="300"/>
              </w:trPr>
              <w:tc>
                <w:tcPr>
                  <w:tcW w:w="25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82DED7E" w14:textId="77777777" w:rsidR="00AD2642" w:rsidRPr="00754BA3" w:rsidRDefault="00AD2642" w:rsidP="00754BA3">
                  <w:pPr>
                    <w:spacing w:after="0" w:line="240" w:lineRule="auto"/>
                    <w:rPr>
                      <w:rFonts w:ascii="Arial" w:hAnsi="Arial" w:cs="Arial"/>
                    </w:rPr>
                  </w:pPr>
                  <w:r w:rsidRPr="00754BA3">
                    <w:rPr>
                      <w:rFonts w:ascii="Arial" w:hAnsi="Arial" w:cs="Arial"/>
                    </w:rPr>
                    <w:t>Cluster 2</w:t>
                  </w:r>
                </w:p>
              </w:tc>
              <w:tc>
                <w:tcPr>
                  <w:tcW w:w="259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4FCDDE7" w14:textId="719F0B9A" w:rsidR="00AD2642" w:rsidRPr="00703266" w:rsidRDefault="00AD2642" w:rsidP="00754BA3">
                  <w:pPr>
                    <w:spacing w:after="0" w:line="240" w:lineRule="auto"/>
                    <w:rPr>
                      <w:rFonts w:ascii="Arial" w:hAnsi="Arial" w:cs="Arial"/>
                    </w:rPr>
                  </w:pPr>
                  <w:r w:rsidRPr="00A41CFB">
                    <w:rPr>
                      <w:rFonts w:ascii="Arial" w:hAnsi="Arial" w:cs="Arial"/>
                      <w:strike/>
                      <w:color w:val="FF0000"/>
                    </w:rPr>
                    <w:t>691.4</w:t>
                  </w:r>
                  <w:r w:rsidR="00703266" w:rsidRPr="00A41CFB">
                    <w:rPr>
                      <w:rFonts w:ascii="Arial" w:hAnsi="Arial" w:cs="Arial"/>
                      <w:strike/>
                      <w:color w:val="FF0000"/>
                    </w:rPr>
                    <w:t xml:space="preserve"> </w:t>
                  </w:r>
                  <w:r w:rsidR="00703266" w:rsidRPr="00A41CFB">
                    <w:rPr>
                      <w:rFonts w:ascii="Arial" w:hAnsi="Arial" w:cs="Arial"/>
                      <w:color w:val="FF0000"/>
                    </w:rPr>
                    <w:t xml:space="preserve">    </w:t>
                  </w:r>
                  <w:r w:rsidR="00703266" w:rsidRPr="00703266">
                    <w:rPr>
                      <w:rFonts w:ascii="Arial" w:hAnsi="Arial" w:cs="Arial"/>
                      <w:color w:val="4EA72E" w:themeColor="accent6"/>
                    </w:rPr>
                    <w:t>775.74</w:t>
                  </w:r>
                </w:p>
              </w:tc>
            </w:tr>
            <w:tr w:rsidR="00AD2642" w:rsidRPr="00754BA3" w14:paraId="0C515FA2" w14:textId="77777777" w:rsidTr="00703266">
              <w:trPr>
                <w:trHeight w:val="300"/>
              </w:trPr>
              <w:tc>
                <w:tcPr>
                  <w:tcW w:w="25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58DAF96" w14:textId="77777777" w:rsidR="00AD2642" w:rsidRPr="00754BA3" w:rsidRDefault="00AD2642" w:rsidP="00754BA3">
                  <w:pPr>
                    <w:spacing w:after="0" w:line="240" w:lineRule="auto"/>
                    <w:rPr>
                      <w:rFonts w:ascii="Arial" w:hAnsi="Arial" w:cs="Arial"/>
                    </w:rPr>
                  </w:pPr>
                  <w:r w:rsidRPr="00754BA3">
                    <w:rPr>
                      <w:rFonts w:ascii="Arial" w:hAnsi="Arial" w:cs="Arial"/>
                    </w:rPr>
                    <w:t>Cluster 3</w:t>
                  </w:r>
                </w:p>
              </w:tc>
              <w:tc>
                <w:tcPr>
                  <w:tcW w:w="259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795E3CF" w14:textId="266712A6" w:rsidR="00AD2642" w:rsidRPr="00703266" w:rsidRDefault="00AD2642" w:rsidP="00754BA3">
                  <w:pPr>
                    <w:spacing w:after="0" w:line="240" w:lineRule="auto"/>
                    <w:rPr>
                      <w:rFonts w:ascii="Arial" w:hAnsi="Arial" w:cs="Arial"/>
                      <w:strike/>
                    </w:rPr>
                  </w:pPr>
                  <w:r w:rsidRPr="00A41CFB">
                    <w:rPr>
                      <w:rFonts w:ascii="Arial" w:hAnsi="Arial" w:cs="Arial"/>
                      <w:strike/>
                      <w:color w:val="FF0000"/>
                    </w:rPr>
                    <w:t>336.23</w:t>
                  </w:r>
                  <w:r w:rsidR="00703266" w:rsidRPr="00A41CFB">
                    <w:rPr>
                      <w:rFonts w:ascii="Arial" w:hAnsi="Arial" w:cs="Arial"/>
                      <w:strike/>
                      <w:color w:val="FF0000"/>
                    </w:rPr>
                    <w:t xml:space="preserve"> </w:t>
                  </w:r>
                  <w:r w:rsidR="00703266" w:rsidRPr="00A41CFB">
                    <w:rPr>
                      <w:rFonts w:ascii="Arial" w:hAnsi="Arial" w:cs="Arial"/>
                      <w:color w:val="FF0000"/>
                    </w:rPr>
                    <w:t xml:space="preserve">   </w:t>
                  </w:r>
                  <w:r w:rsidR="00703266" w:rsidRPr="00703266">
                    <w:rPr>
                      <w:rFonts w:ascii="Arial" w:hAnsi="Arial" w:cs="Arial"/>
                      <w:color w:val="4EA72E" w:themeColor="accent6"/>
                    </w:rPr>
                    <w:t>395.41</w:t>
                  </w:r>
                </w:p>
              </w:tc>
            </w:tr>
            <w:tr w:rsidR="00AD2642" w:rsidRPr="00754BA3" w14:paraId="2761D3C0" w14:textId="77777777" w:rsidTr="00703266">
              <w:trPr>
                <w:trHeight w:val="300"/>
              </w:trPr>
              <w:tc>
                <w:tcPr>
                  <w:tcW w:w="25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8CE7EC1" w14:textId="77777777" w:rsidR="00AD2642" w:rsidRPr="00754BA3" w:rsidRDefault="00AD2642" w:rsidP="00754BA3">
                  <w:pPr>
                    <w:spacing w:after="0" w:line="240" w:lineRule="auto"/>
                    <w:rPr>
                      <w:rFonts w:ascii="Arial" w:hAnsi="Arial" w:cs="Arial"/>
                    </w:rPr>
                  </w:pPr>
                  <w:r w:rsidRPr="00754BA3">
                    <w:rPr>
                      <w:rFonts w:ascii="Arial" w:hAnsi="Arial" w:cs="Arial"/>
                    </w:rPr>
                    <w:t>Cluster 4</w:t>
                  </w:r>
                </w:p>
              </w:tc>
              <w:tc>
                <w:tcPr>
                  <w:tcW w:w="259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E16EBC" w14:textId="27150545" w:rsidR="00AD2642" w:rsidRPr="00703266" w:rsidRDefault="00AD2642" w:rsidP="00754BA3">
                  <w:pPr>
                    <w:spacing w:after="0" w:line="240" w:lineRule="auto"/>
                    <w:rPr>
                      <w:rFonts w:ascii="Arial" w:hAnsi="Arial" w:cs="Arial"/>
                      <w:strike/>
                    </w:rPr>
                  </w:pPr>
                  <w:r w:rsidRPr="00A41CFB">
                    <w:rPr>
                      <w:rFonts w:ascii="Arial" w:hAnsi="Arial" w:cs="Arial"/>
                      <w:strike/>
                      <w:color w:val="FF0000"/>
                    </w:rPr>
                    <w:t>33.78</w:t>
                  </w:r>
                  <w:r w:rsidR="00703266" w:rsidRPr="00A41CFB">
                    <w:rPr>
                      <w:rFonts w:ascii="Arial" w:hAnsi="Arial" w:cs="Arial"/>
                      <w:color w:val="FF0000"/>
                    </w:rPr>
                    <w:t xml:space="preserve">   </w:t>
                  </w:r>
                  <w:r w:rsidR="00703266" w:rsidRPr="00703266">
                    <w:rPr>
                      <w:rFonts w:ascii="Arial" w:hAnsi="Arial" w:cs="Arial"/>
                      <w:color w:val="4EA72E" w:themeColor="accent6"/>
                    </w:rPr>
                    <w:t>53.78</w:t>
                  </w:r>
                </w:p>
              </w:tc>
            </w:tr>
            <w:tr w:rsidR="00AD2642" w:rsidRPr="00754BA3" w14:paraId="2B3EA325" w14:textId="77777777" w:rsidTr="00703266">
              <w:trPr>
                <w:trHeight w:val="300"/>
              </w:trPr>
              <w:tc>
                <w:tcPr>
                  <w:tcW w:w="25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F054217" w14:textId="77777777" w:rsidR="00AD2642" w:rsidRPr="00754BA3" w:rsidRDefault="00AD2642" w:rsidP="00754BA3">
                  <w:pPr>
                    <w:spacing w:after="0" w:line="240" w:lineRule="auto"/>
                    <w:rPr>
                      <w:rFonts w:ascii="Arial" w:hAnsi="Arial" w:cs="Arial"/>
                    </w:rPr>
                  </w:pPr>
                  <w:r w:rsidRPr="00754BA3">
                    <w:rPr>
                      <w:rFonts w:ascii="Arial" w:hAnsi="Arial" w:cs="Arial"/>
                    </w:rPr>
                    <w:t>Cluster 5</w:t>
                  </w:r>
                </w:p>
              </w:tc>
              <w:tc>
                <w:tcPr>
                  <w:tcW w:w="259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7C5684A" w14:textId="50B62EE5" w:rsidR="00AD2642" w:rsidRPr="00703266" w:rsidRDefault="00AD2642" w:rsidP="00754BA3">
                  <w:pPr>
                    <w:spacing w:after="0" w:line="240" w:lineRule="auto"/>
                    <w:rPr>
                      <w:rFonts w:ascii="Arial" w:hAnsi="Arial" w:cs="Arial"/>
                    </w:rPr>
                  </w:pPr>
                  <w:r w:rsidRPr="00A41CFB">
                    <w:rPr>
                      <w:rFonts w:ascii="Arial" w:hAnsi="Arial" w:cs="Arial"/>
                      <w:strike/>
                      <w:color w:val="FF0000"/>
                    </w:rPr>
                    <w:t>39.84</w:t>
                  </w:r>
                  <w:r w:rsidR="00703266" w:rsidRPr="00A41CFB">
                    <w:rPr>
                      <w:rFonts w:ascii="Arial" w:hAnsi="Arial" w:cs="Arial"/>
                      <w:color w:val="FF0000"/>
                    </w:rPr>
                    <w:t xml:space="preserve">   </w:t>
                  </w:r>
                  <w:r w:rsidR="00703266" w:rsidRPr="00703266">
                    <w:rPr>
                      <w:rFonts w:ascii="Arial" w:hAnsi="Arial" w:cs="Arial"/>
                      <w:color w:val="4EA72E" w:themeColor="accent6"/>
                    </w:rPr>
                    <w:t>53.84</w:t>
                  </w:r>
                </w:p>
              </w:tc>
            </w:tr>
            <w:tr w:rsidR="00AD2642" w:rsidRPr="00754BA3" w14:paraId="655824D1" w14:textId="77777777" w:rsidTr="00703266">
              <w:trPr>
                <w:trHeight w:val="300"/>
              </w:trPr>
              <w:tc>
                <w:tcPr>
                  <w:tcW w:w="25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D058821" w14:textId="77777777" w:rsidR="00AD2642" w:rsidRPr="00754BA3" w:rsidRDefault="00AD2642" w:rsidP="00754BA3">
                  <w:pPr>
                    <w:spacing w:after="0" w:line="240" w:lineRule="auto"/>
                    <w:rPr>
                      <w:rFonts w:ascii="Arial" w:hAnsi="Arial" w:cs="Arial"/>
                    </w:rPr>
                  </w:pPr>
                  <w:r w:rsidRPr="00754BA3">
                    <w:rPr>
                      <w:rFonts w:ascii="Arial" w:hAnsi="Arial" w:cs="Arial"/>
                    </w:rPr>
                    <w:t>Cluster 6</w:t>
                  </w:r>
                </w:p>
              </w:tc>
              <w:tc>
                <w:tcPr>
                  <w:tcW w:w="259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8440A9D" w14:textId="771C7BF5" w:rsidR="00AD2642" w:rsidRPr="00703266" w:rsidRDefault="00AD2642" w:rsidP="00754BA3">
                  <w:pPr>
                    <w:spacing w:after="0" w:line="240" w:lineRule="auto"/>
                    <w:rPr>
                      <w:rFonts w:ascii="Arial" w:hAnsi="Arial" w:cs="Arial"/>
                    </w:rPr>
                  </w:pPr>
                  <w:proofErr w:type="gramStart"/>
                  <w:r w:rsidRPr="00A41CFB">
                    <w:rPr>
                      <w:rFonts w:ascii="Arial" w:hAnsi="Arial" w:cs="Arial"/>
                      <w:strike/>
                      <w:color w:val="FF0000"/>
                    </w:rPr>
                    <w:t>145.76</w:t>
                  </w:r>
                  <w:r w:rsidR="00703266" w:rsidRPr="00A41CFB">
                    <w:rPr>
                      <w:rFonts w:ascii="Arial" w:hAnsi="Arial" w:cs="Arial"/>
                      <w:color w:val="FF0000"/>
                    </w:rPr>
                    <w:t xml:space="preserve">  </w:t>
                  </w:r>
                  <w:r w:rsidR="00703266" w:rsidRPr="00703266">
                    <w:rPr>
                      <w:rFonts w:ascii="Arial" w:hAnsi="Arial" w:cs="Arial"/>
                      <w:color w:val="4EA72E" w:themeColor="accent6"/>
                    </w:rPr>
                    <w:t>176</w:t>
                  </w:r>
                  <w:proofErr w:type="gramEnd"/>
                  <w:r w:rsidR="00703266" w:rsidRPr="00703266">
                    <w:rPr>
                      <w:rFonts w:ascii="Arial" w:hAnsi="Arial" w:cs="Arial"/>
                      <w:color w:val="4EA72E" w:themeColor="accent6"/>
                    </w:rPr>
                    <w:t>.76</w:t>
                  </w:r>
                </w:p>
              </w:tc>
            </w:tr>
            <w:tr w:rsidR="00AD2642" w:rsidRPr="00754BA3" w14:paraId="47CE35D4" w14:textId="77777777" w:rsidTr="00703266">
              <w:trPr>
                <w:trHeight w:val="300"/>
              </w:trPr>
              <w:tc>
                <w:tcPr>
                  <w:tcW w:w="25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1894277" w14:textId="77777777" w:rsidR="00AD2642" w:rsidRPr="00754BA3" w:rsidRDefault="00AD2642" w:rsidP="00754BA3">
                  <w:pPr>
                    <w:spacing w:after="0" w:line="240" w:lineRule="auto"/>
                    <w:rPr>
                      <w:rFonts w:ascii="Arial" w:hAnsi="Arial" w:cs="Arial"/>
                      <w:b/>
                      <w:bCs/>
                    </w:rPr>
                  </w:pPr>
                  <w:r w:rsidRPr="00754BA3">
                    <w:rPr>
                      <w:rFonts w:ascii="Arial" w:hAnsi="Arial" w:cs="Arial"/>
                      <w:b/>
                      <w:bCs/>
                    </w:rPr>
                    <w:t>Total</w:t>
                  </w:r>
                </w:p>
              </w:tc>
              <w:tc>
                <w:tcPr>
                  <w:tcW w:w="259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9C78F39" w14:textId="5354E2F9" w:rsidR="00AD2642" w:rsidRPr="00703266" w:rsidRDefault="00AD2642" w:rsidP="00754BA3">
                  <w:pPr>
                    <w:spacing w:after="0" w:line="240" w:lineRule="auto"/>
                    <w:rPr>
                      <w:rFonts w:ascii="Arial" w:hAnsi="Arial" w:cs="Arial"/>
                      <w:b/>
                      <w:bCs/>
                    </w:rPr>
                  </w:pPr>
                  <w:proofErr w:type="gramStart"/>
                  <w:r w:rsidRPr="00A41CFB">
                    <w:rPr>
                      <w:rFonts w:ascii="Arial" w:hAnsi="Arial" w:cs="Arial"/>
                      <w:b/>
                      <w:bCs/>
                      <w:strike/>
                      <w:color w:val="FF0000"/>
                    </w:rPr>
                    <w:t>1628.12</w:t>
                  </w:r>
                  <w:r w:rsidR="00703266" w:rsidRPr="00A41CFB">
                    <w:rPr>
                      <w:rFonts w:ascii="Arial" w:hAnsi="Arial" w:cs="Arial"/>
                      <w:b/>
                      <w:bCs/>
                      <w:color w:val="FF0000"/>
                    </w:rPr>
                    <w:t xml:space="preserve">  </w:t>
                  </w:r>
                  <w:r w:rsidR="00703266" w:rsidRPr="00703266">
                    <w:rPr>
                      <w:rFonts w:ascii="Arial" w:hAnsi="Arial" w:cs="Arial"/>
                      <w:b/>
                      <w:bCs/>
                      <w:color w:val="4EA72E" w:themeColor="accent6"/>
                    </w:rPr>
                    <w:t>1,844.14</w:t>
                  </w:r>
                  <w:proofErr w:type="gramEnd"/>
                </w:p>
              </w:tc>
            </w:tr>
            <w:tr w:rsidR="00AD2642" w:rsidRPr="00754BA3" w14:paraId="7D10645E" w14:textId="77777777" w:rsidTr="00703266">
              <w:trPr>
                <w:trHeight w:val="300"/>
              </w:trPr>
              <w:tc>
                <w:tcPr>
                  <w:tcW w:w="25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CF3ED3B" w14:textId="77777777" w:rsidR="00AD2642" w:rsidRPr="00754BA3" w:rsidRDefault="00AD2642" w:rsidP="00754BA3">
                  <w:pPr>
                    <w:spacing w:after="0" w:line="240" w:lineRule="auto"/>
                    <w:rPr>
                      <w:rFonts w:ascii="Arial" w:hAnsi="Arial" w:cs="Arial"/>
                    </w:rPr>
                  </w:pPr>
                  <w:r w:rsidRPr="00754BA3">
                    <w:rPr>
                      <w:rFonts w:ascii="Arial" w:hAnsi="Arial" w:cs="Arial"/>
                    </w:rPr>
                    <w:t>Large Windfall</w:t>
                  </w:r>
                </w:p>
              </w:tc>
              <w:tc>
                <w:tcPr>
                  <w:tcW w:w="259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4E0BF1C" w14:textId="6BE5E567" w:rsidR="00AD2642" w:rsidRPr="00703266" w:rsidRDefault="00AD2642" w:rsidP="00754BA3">
                  <w:pPr>
                    <w:spacing w:after="0" w:line="240" w:lineRule="auto"/>
                    <w:rPr>
                      <w:rFonts w:ascii="Arial" w:hAnsi="Arial" w:cs="Arial"/>
                    </w:rPr>
                  </w:pPr>
                  <w:r w:rsidRPr="00A41CFB">
                    <w:rPr>
                      <w:rFonts w:ascii="Arial" w:hAnsi="Arial" w:cs="Arial"/>
                      <w:strike/>
                      <w:color w:val="FF0000"/>
                    </w:rPr>
                    <w:t>166</w:t>
                  </w:r>
                  <w:r w:rsidR="00703266" w:rsidRPr="00A41CFB">
                    <w:rPr>
                      <w:rFonts w:ascii="Arial" w:hAnsi="Arial" w:cs="Arial"/>
                      <w:color w:val="FF0000"/>
                    </w:rPr>
                    <w:t xml:space="preserve"> </w:t>
                  </w:r>
                  <w:r w:rsidR="00703266">
                    <w:rPr>
                      <w:rFonts w:ascii="Arial" w:hAnsi="Arial" w:cs="Arial"/>
                    </w:rPr>
                    <w:t xml:space="preserve">  </w:t>
                  </w:r>
                  <w:r w:rsidR="00703266" w:rsidRPr="00703266">
                    <w:rPr>
                      <w:rFonts w:ascii="Arial" w:hAnsi="Arial" w:cs="Arial"/>
                      <w:color w:val="4EA72E" w:themeColor="accent6"/>
                    </w:rPr>
                    <w:t>125.1</w:t>
                  </w:r>
                </w:p>
              </w:tc>
            </w:tr>
            <w:tr w:rsidR="00AD2642" w:rsidRPr="00754BA3" w14:paraId="6D5E41F0" w14:textId="77777777" w:rsidTr="00703266">
              <w:trPr>
                <w:trHeight w:val="300"/>
              </w:trPr>
              <w:tc>
                <w:tcPr>
                  <w:tcW w:w="25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8E76A1F" w14:textId="77777777" w:rsidR="00AD2642" w:rsidRPr="00754BA3" w:rsidRDefault="00AD2642" w:rsidP="00754BA3">
                  <w:pPr>
                    <w:spacing w:after="0" w:line="240" w:lineRule="auto"/>
                    <w:rPr>
                      <w:rFonts w:ascii="Arial" w:hAnsi="Arial" w:cs="Arial"/>
                    </w:rPr>
                  </w:pPr>
                  <w:r w:rsidRPr="00754BA3">
                    <w:rPr>
                      <w:rFonts w:ascii="Arial" w:hAnsi="Arial" w:cs="Arial"/>
                    </w:rPr>
                    <w:t>Local Need</w:t>
                  </w:r>
                </w:p>
              </w:tc>
              <w:tc>
                <w:tcPr>
                  <w:tcW w:w="259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0DF30C1" w14:textId="6D9E9EF8" w:rsidR="00AD2642" w:rsidRPr="00703266" w:rsidRDefault="00AD2642" w:rsidP="00754BA3">
                  <w:pPr>
                    <w:spacing w:after="0" w:line="240" w:lineRule="auto"/>
                    <w:rPr>
                      <w:rFonts w:ascii="Arial" w:hAnsi="Arial" w:cs="Arial"/>
                    </w:rPr>
                  </w:pPr>
                  <w:r w:rsidRPr="00703266">
                    <w:rPr>
                      <w:rFonts w:ascii="Arial" w:hAnsi="Arial" w:cs="Arial"/>
                    </w:rPr>
                    <w:t>142</w:t>
                  </w:r>
                  <w:r w:rsidR="00703266" w:rsidRPr="00703266">
                    <w:rPr>
                      <w:rFonts w:ascii="Arial" w:hAnsi="Arial" w:cs="Arial"/>
                    </w:rPr>
                    <w:t xml:space="preserve"> </w:t>
                  </w:r>
                </w:p>
              </w:tc>
            </w:tr>
            <w:tr w:rsidR="00AD2642" w:rsidRPr="00754BA3" w14:paraId="0AFEC98E" w14:textId="77777777" w:rsidTr="00703266">
              <w:trPr>
                <w:trHeight w:val="300"/>
              </w:trPr>
              <w:tc>
                <w:tcPr>
                  <w:tcW w:w="25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4148E9F" w14:textId="77777777" w:rsidR="00AD2642" w:rsidRPr="00754BA3" w:rsidRDefault="00AD2642" w:rsidP="00754BA3">
                  <w:pPr>
                    <w:spacing w:after="0" w:line="240" w:lineRule="auto"/>
                    <w:rPr>
                      <w:rFonts w:ascii="Arial" w:hAnsi="Arial" w:cs="Arial"/>
                      <w:b/>
                      <w:bCs/>
                    </w:rPr>
                  </w:pPr>
                  <w:r w:rsidRPr="00754BA3">
                    <w:rPr>
                      <w:rFonts w:ascii="Arial" w:hAnsi="Arial" w:cs="Arial"/>
                      <w:b/>
                      <w:bCs/>
                    </w:rPr>
                    <w:t>Total</w:t>
                  </w:r>
                </w:p>
              </w:tc>
              <w:tc>
                <w:tcPr>
                  <w:tcW w:w="259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3B03C1C" w14:textId="670BC22F" w:rsidR="00AD2642" w:rsidRPr="00703266" w:rsidRDefault="00AD2642" w:rsidP="00754BA3">
                  <w:pPr>
                    <w:spacing w:after="0" w:line="240" w:lineRule="auto"/>
                    <w:rPr>
                      <w:rFonts w:ascii="Arial" w:hAnsi="Arial" w:cs="Arial"/>
                      <w:b/>
                      <w:bCs/>
                    </w:rPr>
                  </w:pPr>
                  <w:r w:rsidRPr="00A41CFB">
                    <w:rPr>
                      <w:rFonts w:ascii="Arial" w:hAnsi="Arial" w:cs="Arial"/>
                      <w:b/>
                      <w:bCs/>
                      <w:strike/>
                      <w:color w:val="FF0000"/>
                    </w:rPr>
                    <w:t>1936.12</w:t>
                  </w:r>
                  <w:r w:rsidR="00703266" w:rsidRPr="00A41CFB">
                    <w:rPr>
                      <w:rFonts w:ascii="Arial" w:hAnsi="Arial" w:cs="Arial"/>
                      <w:b/>
                      <w:bCs/>
                      <w:color w:val="FF0000"/>
                    </w:rPr>
                    <w:t xml:space="preserve">    </w:t>
                  </w:r>
                  <w:r w:rsidR="00703266" w:rsidRPr="00703266">
                    <w:rPr>
                      <w:rFonts w:ascii="Arial" w:hAnsi="Arial" w:cs="Arial"/>
                      <w:b/>
                      <w:bCs/>
                      <w:color w:val="4EA72E" w:themeColor="accent6"/>
                    </w:rPr>
                    <w:t>2,111.74</w:t>
                  </w:r>
                </w:p>
              </w:tc>
            </w:tr>
          </w:tbl>
          <w:p w14:paraId="6B86F5B8" w14:textId="77777777" w:rsidR="00AD2642" w:rsidRPr="00754BA3" w:rsidRDefault="00AD2642" w:rsidP="00754BA3">
            <w:pPr>
              <w:rPr>
                <w:rFonts w:ascii="Arial" w:hAnsi="Arial" w:cs="Arial"/>
              </w:rPr>
            </w:pPr>
          </w:p>
          <w:p w14:paraId="00F9843B" w14:textId="77777777" w:rsidR="00AD2642" w:rsidRDefault="00AD2642" w:rsidP="00CF49E9">
            <w:pPr>
              <w:rPr>
                <w:rFonts w:ascii="Arial" w:hAnsi="Arial" w:cs="Arial"/>
              </w:rPr>
            </w:pPr>
          </w:p>
          <w:p w14:paraId="317D84B0" w14:textId="6B323A75" w:rsidR="00AD2642" w:rsidRPr="005D6B03" w:rsidRDefault="00AD2642" w:rsidP="00CF49E9">
            <w:pPr>
              <w:rPr>
                <w:rFonts w:ascii="Arial" w:hAnsi="Arial" w:cs="Arial"/>
                <w:b/>
                <w:bCs/>
              </w:rPr>
            </w:pPr>
            <w:r w:rsidRPr="005D6B03">
              <w:rPr>
                <w:rFonts w:ascii="Arial" w:hAnsi="Arial" w:cs="Arial"/>
                <w:b/>
                <w:bCs/>
              </w:rPr>
              <w:t>Amend Policy SP5 to the following</w:t>
            </w:r>
          </w:p>
          <w:p w14:paraId="4CAA5F6C" w14:textId="77777777" w:rsidR="00AD2642" w:rsidRPr="000A2CAB" w:rsidRDefault="00AD2642" w:rsidP="00CF49E9">
            <w:pPr>
              <w:rPr>
                <w:rFonts w:ascii="Arial" w:hAnsi="Arial" w:cs="Arial"/>
              </w:rPr>
            </w:pPr>
          </w:p>
          <w:p w14:paraId="05491D5D" w14:textId="77777777" w:rsidR="00AD2642" w:rsidRPr="000A2CAB" w:rsidRDefault="00AD2642" w:rsidP="00CF49E9">
            <w:pPr>
              <w:rPr>
                <w:rFonts w:ascii="Arial" w:hAnsi="Arial" w:cs="Arial"/>
              </w:rPr>
            </w:pPr>
            <w:r w:rsidRPr="000A2CAB">
              <w:rPr>
                <w:rFonts w:ascii="Arial" w:hAnsi="Arial" w:cs="Arial"/>
                <w:b/>
                <w:color w:val="F1A983" w:themeColor="accent2" w:themeTint="99"/>
              </w:rPr>
              <w:t>Strategic Policy – SP 5: Affordable Homes Strategy</w:t>
            </w:r>
            <w:r w:rsidRPr="000A2CAB">
              <w:rPr>
                <w:rFonts w:ascii="Arial" w:hAnsi="Arial" w:cs="Arial"/>
              </w:rPr>
              <w:t xml:space="preserve"> </w:t>
            </w:r>
          </w:p>
          <w:p w14:paraId="2CF1CA90" w14:textId="77777777" w:rsidR="00AD2642" w:rsidRPr="000A2CAB" w:rsidRDefault="00AD2642" w:rsidP="00CF49E9">
            <w:pPr>
              <w:rPr>
                <w:rFonts w:ascii="Arial" w:hAnsi="Arial" w:cs="Arial"/>
              </w:rPr>
            </w:pPr>
          </w:p>
          <w:p w14:paraId="431E7698" w14:textId="15B63384" w:rsidR="00AD2642" w:rsidRPr="000A2CAB" w:rsidRDefault="00AD2642" w:rsidP="00CF49E9">
            <w:pPr>
              <w:rPr>
                <w:rFonts w:ascii="Arial" w:hAnsi="Arial" w:cs="Arial"/>
                <w:b/>
                <w:bCs/>
              </w:rPr>
            </w:pPr>
            <w:r w:rsidRPr="000A2CAB">
              <w:rPr>
                <w:rFonts w:ascii="Arial" w:hAnsi="Arial" w:cs="Arial"/>
                <w:b/>
                <w:bCs/>
              </w:rPr>
              <w:t xml:space="preserve">The Plan will maximise the delivery of affordable homes up to 2033 through the provision of a </w:t>
            </w:r>
            <w:r w:rsidRPr="000A2CAB">
              <w:rPr>
                <w:rFonts w:ascii="Arial" w:hAnsi="Arial" w:cs="Arial"/>
                <w:b/>
                <w:bCs/>
                <w:strike/>
                <w:color w:val="FF0000"/>
              </w:rPr>
              <w:t>minimum</w:t>
            </w:r>
            <w:r w:rsidRPr="000A2CAB">
              <w:rPr>
                <w:rFonts w:ascii="Arial" w:hAnsi="Arial" w:cs="Arial"/>
                <w:b/>
                <w:bCs/>
                <w:color w:val="00B050"/>
              </w:rPr>
              <w:t xml:space="preserve"> target </w:t>
            </w:r>
            <w:r w:rsidRPr="000A2CAB">
              <w:rPr>
                <w:rFonts w:ascii="Arial" w:hAnsi="Arial" w:cs="Arial"/>
                <w:b/>
                <w:bCs/>
              </w:rPr>
              <w:t xml:space="preserve">of </w:t>
            </w:r>
            <w:r w:rsidR="00A41CFB">
              <w:rPr>
                <w:rFonts w:ascii="Arial" w:hAnsi="Arial" w:cs="Arial"/>
                <w:b/>
                <w:bCs/>
                <w:color w:val="00B050"/>
              </w:rPr>
              <w:t>2,111</w:t>
            </w:r>
            <w:r w:rsidRPr="000A2CAB">
              <w:rPr>
                <w:rFonts w:ascii="Arial" w:hAnsi="Arial" w:cs="Arial"/>
                <w:b/>
                <w:bCs/>
                <w:color w:val="00B050"/>
              </w:rPr>
              <w:t xml:space="preserve"> </w:t>
            </w:r>
            <w:r w:rsidRPr="000A2CAB">
              <w:rPr>
                <w:rFonts w:ascii="Arial" w:hAnsi="Arial" w:cs="Arial"/>
                <w:b/>
                <w:bCs/>
                <w:strike/>
                <w:color w:val="FF0000"/>
              </w:rPr>
              <w:t>1,900</w:t>
            </w:r>
            <w:r w:rsidRPr="000A2CAB">
              <w:rPr>
                <w:rFonts w:ascii="Arial" w:hAnsi="Arial" w:cs="Arial"/>
                <w:b/>
                <w:bCs/>
                <w:color w:val="FF0000"/>
              </w:rPr>
              <w:t xml:space="preserve"> </w:t>
            </w:r>
            <w:r w:rsidRPr="000A2CAB">
              <w:rPr>
                <w:rFonts w:ascii="Arial" w:hAnsi="Arial" w:cs="Arial"/>
                <w:b/>
                <w:bCs/>
              </w:rPr>
              <w:lastRenderedPageBreak/>
              <w:t>affordable homes. This will support the development and enhancement of sustainable, balanced communities.</w:t>
            </w:r>
          </w:p>
          <w:p w14:paraId="7B063315" w14:textId="77777777" w:rsidR="00AD2642" w:rsidRPr="000A2CAB" w:rsidRDefault="00AD2642" w:rsidP="00CF49E9">
            <w:pPr>
              <w:rPr>
                <w:rFonts w:ascii="Arial" w:hAnsi="Arial" w:cs="Arial"/>
              </w:rPr>
            </w:pPr>
          </w:p>
          <w:p w14:paraId="52E41638" w14:textId="77777777" w:rsidR="00AD2642" w:rsidRPr="000A2CAB" w:rsidRDefault="00AD2642" w:rsidP="00CF49E9">
            <w:pPr>
              <w:rPr>
                <w:rFonts w:ascii="Arial" w:hAnsi="Arial" w:cs="Arial"/>
                <w:sz w:val="22"/>
                <w:szCs w:val="22"/>
              </w:rPr>
            </w:pPr>
            <w:r w:rsidRPr="000A2CAB">
              <w:rPr>
                <w:rFonts w:ascii="Arial" w:hAnsi="Arial" w:cs="Arial"/>
                <w:sz w:val="22"/>
                <w:szCs w:val="22"/>
              </w:rPr>
              <w:t xml:space="preserve">11.116 Whilst the LDP and planning system seeks to support the delivery of affordable </w:t>
            </w:r>
            <w:proofErr w:type="gramStart"/>
            <w:r w:rsidRPr="000A2CAB">
              <w:rPr>
                <w:rFonts w:ascii="Arial" w:hAnsi="Arial" w:cs="Arial"/>
                <w:sz w:val="22"/>
                <w:szCs w:val="22"/>
              </w:rPr>
              <w:t>homes,</w:t>
            </w:r>
            <w:proofErr w:type="gramEnd"/>
            <w:r w:rsidRPr="000A2CAB">
              <w:rPr>
                <w:rFonts w:ascii="Arial" w:hAnsi="Arial" w:cs="Arial"/>
                <w:sz w:val="22"/>
                <w:szCs w:val="22"/>
              </w:rPr>
              <w:t xml:space="preserve"> it is only one of few mechanisms used to meet this need. This is reflected in the Council’s Affordable Housing Delivery Plan which sets out a five-year vision for delivering affordable housing. The LDP’s contribution to the target is set out in SP5 through: </w:t>
            </w:r>
          </w:p>
          <w:p w14:paraId="7FEA7F5C" w14:textId="77777777" w:rsidR="00AD2642" w:rsidRPr="000A2CAB" w:rsidRDefault="00AD2642" w:rsidP="00CF49E9">
            <w:pPr>
              <w:rPr>
                <w:rFonts w:ascii="Arial" w:hAnsi="Arial" w:cs="Arial"/>
                <w:sz w:val="22"/>
                <w:szCs w:val="22"/>
              </w:rPr>
            </w:pPr>
          </w:p>
          <w:p w14:paraId="3B5D617B" w14:textId="77777777" w:rsidR="00AD2642" w:rsidRPr="000A2CAB" w:rsidRDefault="00AD2642" w:rsidP="00BE2338">
            <w:pPr>
              <w:ind w:left="316"/>
              <w:rPr>
                <w:rFonts w:ascii="Arial" w:hAnsi="Arial" w:cs="Arial"/>
                <w:sz w:val="22"/>
                <w:szCs w:val="22"/>
              </w:rPr>
            </w:pPr>
            <w:r w:rsidRPr="000A2CAB">
              <w:rPr>
                <w:rFonts w:ascii="Arial" w:hAnsi="Arial" w:cs="Arial"/>
                <w:sz w:val="22"/>
                <w:szCs w:val="22"/>
              </w:rPr>
              <w:t xml:space="preserve">• On-site provision of affordable housing as a percentage of the overall development, or on sites acquired by social housing </w:t>
            </w:r>
            <w:proofErr w:type="gramStart"/>
            <w:r w:rsidRPr="000A2CAB">
              <w:rPr>
                <w:rFonts w:ascii="Arial" w:hAnsi="Arial" w:cs="Arial"/>
                <w:sz w:val="22"/>
                <w:szCs w:val="22"/>
              </w:rPr>
              <w:t>providers;</w:t>
            </w:r>
            <w:proofErr w:type="gramEnd"/>
            <w:r w:rsidRPr="000A2CAB">
              <w:rPr>
                <w:rFonts w:ascii="Arial" w:hAnsi="Arial" w:cs="Arial"/>
                <w:sz w:val="22"/>
                <w:szCs w:val="22"/>
              </w:rPr>
              <w:t xml:space="preserve"> </w:t>
            </w:r>
          </w:p>
          <w:p w14:paraId="02E33C79" w14:textId="77777777" w:rsidR="00AD2642" w:rsidRPr="000A2CAB" w:rsidRDefault="00AD2642" w:rsidP="00BE2338">
            <w:pPr>
              <w:ind w:left="316"/>
              <w:rPr>
                <w:rFonts w:ascii="Arial" w:hAnsi="Arial" w:cs="Arial"/>
                <w:sz w:val="22"/>
                <w:szCs w:val="22"/>
              </w:rPr>
            </w:pPr>
            <w:r w:rsidRPr="000A2CAB">
              <w:rPr>
                <w:rFonts w:ascii="Arial" w:hAnsi="Arial" w:cs="Arial"/>
                <w:sz w:val="22"/>
                <w:szCs w:val="22"/>
              </w:rPr>
              <w:t xml:space="preserve">• Off-site affordable housing in lieu of on-site </w:t>
            </w:r>
            <w:proofErr w:type="gramStart"/>
            <w:r w:rsidRPr="000A2CAB">
              <w:rPr>
                <w:rFonts w:ascii="Arial" w:hAnsi="Arial" w:cs="Arial"/>
                <w:sz w:val="22"/>
                <w:szCs w:val="22"/>
              </w:rPr>
              <w:t>provision;</w:t>
            </w:r>
            <w:proofErr w:type="gramEnd"/>
            <w:r w:rsidRPr="000A2CAB">
              <w:rPr>
                <w:rFonts w:ascii="Arial" w:hAnsi="Arial" w:cs="Arial"/>
                <w:sz w:val="22"/>
                <w:szCs w:val="22"/>
              </w:rPr>
              <w:t xml:space="preserve"> </w:t>
            </w:r>
          </w:p>
          <w:p w14:paraId="4C40959B" w14:textId="77777777" w:rsidR="00AD2642" w:rsidRPr="000A2CAB" w:rsidRDefault="00AD2642" w:rsidP="00BE2338">
            <w:pPr>
              <w:ind w:left="316"/>
              <w:rPr>
                <w:rFonts w:ascii="Arial" w:hAnsi="Arial" w:cs="Arial"/>
                <w:sz w:val="22"/>
                <w:szCs w:val="22"/>
              </w:rPr>
            </w:pPr>
            <w:r w:rsidRPr="000A2CAB">
              <w:rPr>
                <w:rFonts w:ascii="Arial" w:hAnsi="Arial" w:cs="Arial"/>
                <w:sz w:val="22"/>
                <w:szCs w:val="22"/>
              </w:rPr>
              <w:t>• Commuted sum contributions to support the delivery of affordable housing; and</w:t>
            </w:r>
          </w:p>
          <w:p w14:paraId="57F1E120" w14:textId="0CD115DE" w:rsidR="00AD2642" w:rsidRPr="000A2CAB" w:rsidRDefault="00AD2642" w:rsidP="00BE2338">
            <w:pPr>
              <w:ind w:left="316"/>
              <w:rPr>
                <w:rFonts w:ascii="Arial" w:hAnsi="Arial" w:cs="Arial"/>
                <w:sz w:val="22"/>
                <w:szCs w:val="22"/>
              </w:rPr>
            </w:pPr>
            <w:r w:rsidRPr="000A2CAB">
              <w:rPr>
                <w:rFonts w:ascii="Arial" w:hAnsi="Arial" w:cs="Arial"/>
                <w:sz w:val="22"/>
                <w:szCs w:val="22"/>
              </w:rPr>
              <w:t xml:space="preserve"> • Local Need housing. </w:t>
            </w:r>
          </w:p>
          <w:p w14:paraId="0F7C305A" w14:textId="77777777" w:rsidR="00AD2642" w:rsidRPr="000A2CAB" w:rsidRDefault="00AD2642" w:rsidP="00CF49E9">
            <w:pPr>
              <w:rPr>
                <w:rFonts w:ascii="Arial" w:hAnsi="Arial" w:cs="Arial"/>
                <w:sz w:val="22"/>
                <w:szCs w:val="22"/>
              </w:rPr>
            </w:pPr>
          </w:p>
          <w:p w14:paraId="000CF9A0" w14:textId="3E044B4B" w:rsidR="00AD2642" w:rsidRPr="000A2CAB" w:rsidRDefault="00AD2642" w:rsidP="00CF49E9">
            <w:pPr>
              <w:rPr>
                <w:rFonts w:ascii="Arial" w:hAnsi="Arial" w:cs="Arial"/>
                <w:color w:val="00B050"/>
                <w:sz w:val="22"/>
                <w:szCs w:val="22"/>
              </w:rPr>
            </w:pPr>
            <w:r w:rsidRPr="000A2CAB">
              <w:rPr>
                <w:rFonts w:ascii="Arial" w:hAnsi="Arial" w:cs="Arial"/>
                <w:color w:val="00B050"/>
                <w:sz w:val="22"/>
                <w:szCs w:val="22"/>
              </w:rPr>
              <w:t xml:space="preserve">New paragraph Number: In combining all methods of affordable housing contributions through the planning system the target set out in Policy SP5 is the starting point for the provision of Affordable Housing within the county, with the Plan seeking to maximise the provision where applicable. </w:t>
            </w:r>
          </w:p>
          <w:p w14:paraId="0797D68E" w14:textId="77777777" w:rsidR="00AD2642" w:rsidRPr="000A2CAB" w:rsidRDefault="00AD2642" w:rsidP="00CF49E9">
            <w:pPr>
              <w:rPr>
                <w:rFonts w:ascii="Arial" w:hAnsi="Arial" w:cs="Arial"/>
                <w:sz w:val="22"/>
                <w:szCs w:val="22"/>
              </w:rPr>
            </w:pPr>
          </w:p>
          <w:p w14:paraId="0ECB0786" w14:textId="5E252607" w:rsidR="00AD2642" w:rsidRPr="000A2CAB" w:rsidRDefault="00AD2642" w:rsidP="00CF49E9">
            <w:pPr>
              <w:rPr>
                <w:rFonts w:ascii="Arial" w:hAnsi="Arial" w:cs="Arial"/>
                <w:sz w:val="22"/>
                <w:szCs w:val="22"/>
              </w:rPr>
            </w:pPr>
            <w:r w:rsidRPr="000A2CAB">
              <w:rPr>
                <w:rFonts w:ascii="Arial" w:hAnsi="Arial" w:cs="Arial"/>
                <w:sz w:val="22"/>
                <w:szCs w:val="22"/>
              </w:rPr>
              <w:t>11.117 Reference is also made to the Carmarthenshire Rural Needs Study 2019 which identifies a higher proportion of larger dwellings within the rural areas that contribute to higher house prices</w:t>
            </w:r>
            <w:proofErr w:type="gramStart"/>
            <w:r w:rsidRPr="000A2CAB">
              <w:rPr>
                <w:rFonts w:ascii="Arial" w:hAnsi="Arial" w:cs="Arial"/>
                <w:sz w:val="22"/>
                <w:szCs w:val="22"/>
                <w:vertAlign w:val="superscript"/>
              </w:rPr>
              <w:t xml:space="preserve">52  </w:t>
            </w:r>
            <w:r w:rsidRPr="000A2CAB">
              <w:rPr>
                <w:rFonts w:ascii="Arial" w:hAnsi="Arial" w:cs="Arial"/>
                <w:sz w:val="22"/>
                <w:szCs w:val="22"/>
              </w:rPr>
              <w:t>The</w:t>
            </w:r>
            <w:proofErr w:type="gramEnd"/>
            <w:r w:rsidRPr="000A2CAB">
              <w:rPr>
                <w:rFonts w:ascii="Arial" w:hAnsi="Arial" w:cs="Arial"/>
                <w:sz w:val="22"/>
                <w:szCs w:val="22"/>
              </w:rPr>
              <w:t xml:space="preserve"> LDP looks to support the growth of more affordable units within the rural communities to promote development for first time buyers or those in low-income households.</w:t>
            </w:r>
          </w:p>
          <w:p w14:paraId="08BEEF84" w14:textId="77777777" w:rsidR="00AD2642" w:rsidRPr="000A2CAB" w:rsidRDefault="00AD2642" w:rsidP="00CF49E9">
            <w:pPr>
              <w:rPr>
                <w:rFonts w:ascii="Arial" w:hAnsi="Arial" w:cs="Arial"/>
              </w:rPr>
            </w:pPr>
          </w:p>
          <w:p w14:paraId="601097C4" w14:textId="14E31C08" w:rsidR="00AD2642" w:rsidRPr="000A2CAB" w:rsidRDefault="00AD2642" w:rsidP="00CF49E9">
            <w:pPr>
              <w:rPr>
                <w:rFonts w:ascii="Arial" w:hAnsi="Arial" w:cs="Arial"/>
              </w:rPr>
            </w:pPr>
          </w:p>
        </w:tc>
        <w:tc>
          <w:tcPr>
            <w:tcW w:w="4853" w:type="dxa"/>
          </w:tcPr>
          <w:p w14:paraId="6B6F0747" w14:textId="44141FBC" w:rsidR="00AD2642" w:rsidRDefault="007C0DDB" w:rsidP="00CF49E9">
            <w:r>
              <w:lastRenderedPageBreak/>
              <w:t>Changes Agreed.</w:t>
            </w:r>
          </w:p>
        </w:tc>
      </w:tr>
      <w:tr w:rsidR="00AD2642" w14:paraId="13B571BA" w14:textId="77777777" w:rsidTr="00AD2642">
        <w:tc>
          <w:tcPr>
            <w:tcW w:w="1696" w:type="dxa"/>
          </w:tcPr>
          <w:p w14:paraId="0518AE7A" w14:textId="08CC8464" w:rsidR="00AD2642" w:rsidRDefault="00AD2642" w:rsidP="00CF49E9">
            <w:r w:rsidRPr="00CA2AC1">
              <w:rPr>
                <w:rFonts w:ascii="Arial" w:hAnsi="Arial" w:cs="Arial"/>
                <w:b/>
                <w:bCs/>
              </w:rPr>
              <w:lastRenderedPageBreak/>
              <w:t>AP</w:t>
            </w:r>
            <w:r>
              <w:rPr>
                <w:rFonts w:ascii="Arial" w:hAnsi="Arial" w:cs="Arial"/>
                <w:b/>
                <w:bCs/>
              </w:rPr>
              <w:t>3</w:t>
            </w:r>
            <w:r w:rsidRPr="00CA2AC1">
              <w:rPr>
                <w:rFonts w:ascii="Arial" w:hAnsi="Arial" w:cs="Arial"/>
                <w:b/>
                <w:bCs/>
              </w:rPr>
              <w:t>/</w:t>
            </w:r>
            <w:r>
              <w:rPr>
                <w:rFonts w:ascii="Arial" w:hAnsi="Arial" w:cs="Arial"/>
                <w:b/>
                <w:bCs/>
              </w:rPr>
              <w:t>2</w:t>
            </w:r>
            <w:r w:rsidRPr="00CA2AC1">
              <w:rPr>
                <w:rFonts w:ascii="Arial" w:hAnsi="Arial" w:cs="Arial"/>
                <w:b/>
                <w:bCs/>
              </w:rPr>
              <w:t xml:space="preserve"> </w:t>
            </w:r>
          </w:p>
        </w:tc>
        <w:tc>
          <w:tcPr>
            <w:tcW w:w="7621" w:type="dxa"/>
          </w:tcPr>
          <w:p w14:paraId="4EEEC3D9" w14:textId="77777777" w:rsidR="00AD2642" w:rsidRDefault="00AD2642" w:rsidP="00CF49E9">
            <w:r>
              <w:t>Amendment to Policy AHOM1</w:t>
            </w:r>
          </w:p>
          <w:p w14:paraId="73151861" w14:textId="77777777" w:rsidR="00AD2642" w:rsidRDefault="00AD2642" w:rsidP="00CF49E9"/>
          <w:p w14:paraId="25CE5FED" w14:textId="77777777" w:rsidR="00AD2642" w:rsidRPr="00FB0F79" w:rsidRDefault="00AD2642" w:rsidP="00CF49E9">
            <w:pPr>
              <w:rPr>
                <w:rFonts w:ascii="Arial" w:hAnsi="Arial" w:cs="Arial"/>
                <w:b/>
                <w:color w:val="F1A983" w:themeColor="accent2" w:themeTint="99"/>
              </w:rPr>
            </w:pPr>
            <w:r w:rsidRPr="00FB0F79">
              <w:rPr>
                <w:rFonts w:ascii="Arial" w:hAnsi="Arial" w:cs="Arial"/>
                <w:b/>
                <w:color w:val="F1A983" w:themeColor="accent2" w:themeTint="99"/>
              </w:rPr>
              <w:t xml:space="preserve">AHOM1: Provision of Affordable Homes On-site Contributions </w:t>
            </w:r>
          </w:p>
          <w:p w14:paraId="2FF49A8B" w14:textId="77777777" w:rsidR="00AD2642" w:rsidRDefault="00AD2642" w:rsidP="00CF49E9">
            <w:pPr>
              <w:rPr>
                <w:rFonts w:ascii="Arial" w:hAnsi="Arial" w:cs="Arial"/>
                <w:b/>
                <w:bCs/>
              </w:rPr>
            </w:pPr>
            <w:r w:rsidRPr="003F56AC">
              <w:rPr>
                <w:rFonts w:ascii="Arial" w:hAnsi="Arial" w:cs="Arial"/>
                <w:b/>
                <w:bCs/>
              </w:rPr>
              <w:t xml:space="preserve">An on-site contribution towards affordable housing will be required on all market housing allocations and windfall sites of </w:t>
            </w:r>
            <w:r w:rsidRPr="003F56AC">
              <w:rPr>
                <w:rFonts w:ascii="Arial" w:hAnsi="Arial" w:cs="Arial"/>
                <w:b/>
                <w:bCs/>
              </w:rPr>
              <w:lastRenderedPageBreak/>
              <w:t xml:space="preserve">10 or more homes to meet the affordable housing target set out in Policy SP5. </w:t>
            </w:r>
          </w:p>
          <w:p w14:paraId="478125BD" w14:textId="67EDFC4A" w:rsidR="00AD2642" w:rsidRPr="003F56AC" w:rsidRDefault="00AD2642" w:rsidP="00CF49E9">
            <w:pPr>
              <w:rPr>
                <w:rFonts w:ascii="Arial" w:hAnsi="Arial" w:cs="Arial"/>
                <w:b/>
                <w:bCs/>
              </w:rPr>
            </w:pPr>
            <w:r w:rsidRPr="003F56AC">
              <w:rPr>
                <w:rFonts w:ascii="Arial" w:hAnsi="Arial" w:cs="Arial"/>
                <w:b/>
                <w:bCs/>
              </w:rPr>
              <w:t xml:space="preserve">The percentage target level for affordable housing is based on the scale of development: </w:t>
            </w:r>
          </w:p>
          <w:p w14:paraId="2DA1A5AE" w14:textId="77777777" w:rsidR="00AD2642" w:rsidRPr="003F56AC" w:rsidRDefault="00AD2642" w:rsidP="00CF49E9">
            <w:pPr>
              <w:rPr>
                <w:rFonts w:ascii="Arial" w:hAnsi="Arial" w:cs="Arial"/>
                <w:b/>
                <w:bCs/>
              </w:rPr>
            </w:pPr>
          </w:p>
          <w:p w14:paraId="57E17ED0" w14:textId="5823E0D6" w:rsidR="00AD2642" w:rsidRDefault="00AD2642" w:rsidP="001A2C61">
            <w:pPr>
              <w:ind w:left="599" w:hanging="425"/>
              <w:rPr>
                <w:rFonts w:ascii="Arial" w:hAnsi="Arial" w:cs="Arial"/>
                <w:b/>
                <w:bCs/>
              </w:rPr>
            </w:pPr>
            <w:r w:rsidRPr="00B166D6">
              <w:rPr>
                <w:rFonts w:ascii="Arial" w:hAnsi="Arial" w:cs="Arial"/>
                <w:b/>
                <w:bCs/>
                <w:color w:val="00B050"/>
              </w:rPr>
              <w:t xml:space="preserve">a) </w:t>
            </w:r>
            <w:r>
              <w:rPr>
                <w:rFonts w:ascii="Arial" w:hAnsi="Arial" w:cs="Arial"/>
                <w:b/>
                <w:bCs/>
                <w:color w:val="00B050"/>
              </w:rPr>
              <w:t xml:space="preserve">  </w:t>
            </w:r>
            <w:r w:rsidRPr="003F56AC">
              <w:rPr>
                <w:rFonts w:ascii="Arial" w:hAnsi="Arial" w:cs="Arial"/>
                <w:b/>
                <w:bCs/>
              </w:rPr>
              <w:t xml:space="preserve">sites comprising 10 – 19 homes will be required to provide an affordable housing contribution of </w:t>
            </w:r>
            <w:proofErr w:type="gramStart"/>
            <w:r w:rsidRPr="003F56AC">
              <w:rPr>
                <w:rFonts w:ascii="Arial" w:hAnsi="Arial" w:cs="Arial"/>
                <w:b/>
                <w:bCs/>
              </w:rPr>
              <w:t>10%;</w:t>
            </w:r>
            <w:proofErr w:type="gramEnd"/>
          </w:p>
          <w:p w14:paraId="439DD2FB" w14:textId="73756594" w:rsidR="00AD2642" w:rsidRPr="003F56AC" w:rsidRDefault="00AD2642" w:rsidP="001A2C61">
            <w:pPr>
              <w:ind w:left="599" w:hanging="425"/>
              <w:rPr>
                <w:rFonts w:ascii="Arial" w:hAnsi="Arial" w:cs="Arial"/>
                <w:b/>
                <w:bCs/>
              </w:rPr>
            </w:pPr>
            <w:r w:rsidRPr="00B166D6">
              <w:rPr>
                <w:rFonts w:ascii="Arial" w:hAnsi="Arial" w:cs="Arial"/>
                <w:b/>
                <w:bCs/>
                <w:color w:val="00B050"/>
              </w:rPr>
              <w:t xml:space="preserve">b) </w:t>
            </w:r>
            <w:r>
              <w:rPr>
                <w:rFonts w:ascii="Arial" w:hAnsi="Arial" w:cs="Arial"/>
                <w:b/>
                <w:bCs/>
                <w:color w:val="00B050"/>
              </w:rPr>
              <w:t xml:space="preserve">  </w:t>
            </w:r>
            <w:r w:rsidRPr="003F56AC">
              <w:rPr>
                <w:rFonts w:ascii="Arial" w:hAnsi="Arial" w:cs="Arial"/>
                <w:b/>
                <w:bCs/>
              </w:rPr>
              <w:t xml:space="preserve">sites comprising 20 - 50 homes will be required to provide an affordable housing contribution of </w:t>
            </w:r>
            <w:proofErr w:type="gramStart"/>
            <w:r w:rsidRPr="003F56AC">
              <w:rPr>
                <w:rFonts w:ascii="Arial" w:hAnsi="Arial" w:cs="Arial"/>
                <w:b/>
                <w:bCs/>
              </w:rPr>
              <w:t>12%;</w:t>
            </w:r>
            <w:proofErr w:type="gramEnd"/>
            <w:r w:rsidRPr="003F56AC">
              <w:rPr>
                <w:rFonts w:ascii="Arial" w:hAnsi="Arial" w:cs="Arial"/>
                <w:b/>
                <w:bCs/>
              </w:rPr>
              <w:t xml:space="preserve"> </w:t>
            </w:r>
          </w:p>
          <w:p w14:paraId="4023D5D4" w14:textId="79C6D7EC" w:rsidR="00AD2642" w:rsidRPr="003F56AC" w:rsidRDefault="00AD2642" w:rsidP="001A2C61">
            <w:pPr>
              <w:ind w:left="599" w:hanging="425"/>
              <w:rPr>
                <w:rFonts w:ascii="Arial" w:hAnsi="Arial" w:cs="Arial"/>
                <w:b/>
                <w:bCs/>
              </w:rPr>
            </w:pPr>
            <w:r w:rsidRPr="00B166D6">
              <w:rPr>
                <w:rFonts w:ascii="Arial" w:hAnsi="Arial" w:cs="Arial"/>
                <w:b/>
                <w:bCs/>
                <w:color w:val="00B050"/>
              </w:rPr>
              <w:t xml:space="preserve">c) </w:t>
            </w:r>
            <w:r>
              <w:rPr>
                <w:rFonts w:ascii="Arial" w:hAnsi="Arial" w:cs="Arial"/>
                <w:b/>
                <w:bCs/>
                <w:color w:val="00B050"/>
              </w:rPr>
              <w:t xml:space="preserve">  </w:t>
            </w:r>
            <w:r w:rsidRPr="003F56AC">
              <w:rPr>
                <w:rFonts w:ascii="Arial" w:hAnsi="Arial" w:cs="Arial"/>
                <w:b/>
                <w:bCs/>
              </w:rPr>
              <w:t xml:space="preserve">sites comprising 51 – 100 homes will be required to provide an affordable housing contribution of </w:t>
            </w:r>
            <w:proofErr w:type="gramStart"/>
            <w:r w:rsidRPr="003F56AC">
              <w:rPr>
                <w:rFonts w:ascii="Arial" w:hAnsi="Arial" w:cs="Arial"/>
                <w:b/>
                <w:bCs/>
              </w:rPr>
              <w:t>20%;</w:t>
            </w:r>
            <w:proofErr w:type="gramEnd"/>
            <w:r w:rsidRPr="003F56AC">
              <w:rPr>
                <w:rFonts w:ascii="Arial" w:hAnsi="Arial" w:cs="Arial"/>
                <w:b/>
                <w:bCs/>
              </w:rPr>
              <w:t xml:space="preserve"> </w:t>
            </w:r>
          </w:p>
          <w:p w14:paraId="576ACD03" w14:textId="5C566DFF" w:rsidR="00AD2642" w:rsidRPr="003F56AC" w:rsidRDefault="00AD2642" w:rsidP="001A2C61">
            <w:pPr>
              <w:ind w:left="599" w:hanging="425"/>
              <w:rPr>
                <w:rFonts w:ascii="Arial" w:hAnsi="Arial" w:cs="Arial"/>
                <w:b/>
                <w:bCs/>
              </w:rPr>
            </w:pPr>
            <w:r w:rsidRPr="00B166D6">
              <w:rPr>
                <w:rFonts w:ascii="Arial" w:hAnsi="Arial" w:cs="Arial"/>
                <w:b/>
                <w:bCs/>
                <w:color w:val="00B050"/>
              </w:rPr>
              <w:t xml:space="preserve">d) </w:t>
            </w:r>
            <w:r>
              <w:rPr>
                <w:rFonts w:ascii="Arial" w:hAnsi="Arial" w:cs="Arial"/>
                <w:b/>
                <w:bCs/>
                <w:color w:val="00B050"/>
              </w:rPr>
              <w:t xml:space="preserve">  </w:t>
            </w:r>
            <w:r w:rsidRPr="003F56AC">
              <w:rPr>
                <w:rFonts w:ascii="Arial" w:hAnsi="Arial" w:cs="Arial"/>
                <w:b/>
                <w:bCs/>
              </w:rPr>
              <w:t xml:space="preserve">sites of 101 homes or more will be required to provide an affordable housing contribution of 25%. </w:t>
            </w:r>
          </w:p>
          <w:p w14:paraId="57BD6A6A" w14:textId="77777777" w:rsidR="00AD2642" w:rsidRDefault="00AD2642" w:rsidP="00CF49E9"/>
          <w:p w14:paraId="0DA29D83" w14:textId="77777777" w:rsidR="00AD2642" w:rsidRPr="00ED5AAE" w:rsidRDefault="00AD2642" w:rsidP="00CF49E9">
            <w:pPr>
              <w:rPr>
                <w:rFonts w:ascii="Arial" w:hAnsi="Arial" w:cs="Arial"/>
                <w:b/>
                <w:bCs/>
                <w:strike/>
                <w:color w:val="FF0000"/>
              </w:rPr>
            </w:pPr>
            <w:r w:rsidRPr="00ED5AAE">
              <w:rPr>
                <w:rFonts w:ascii="Arial" w:hAnsi="Arial" w:cs="Arial"/>
                <w:b/>
                <w:bCs/>
                <w:strike/>
                <w:color w:val="FF0000"/>
              </w:rPr>
              <w:t xml:space="preserve">The affordable housing target percentage noted is a target to be used as a starting point for affordable housing negotiations. </w:t>
            </w:r>
          </w:p>
          <w:p w14:paraId="26507761" w14:textId="77777777" w:rsidR="00AD2642" w:rsidRPr="00ED5AAE" w:rsidRDefault="00AD2642" w:rsidP="00CF49E9">
            <w:pPr>
              <w:rPr>
                <w:rFonts w:ascii="Arial" w:hAnsi="Arial" w:cs="Arial"/>
                <w:b/>
                <w:bCs/>
                <w:strike/>
                <w:color w:val="FF0000"/>
              </w:rPr>
            </w:pPr>
          </w:p>
          <w:p w14:paraId="46310B50" w14:textId="77777777" w:rsidR="00AD2642" w:rsidRPr="00ED5AAE" w:rsidRDefault="00AD2642" w:rsidP="00CF49E9">
            <w:pPr>
              <w:rPr>
                <w:rFonts w:ascii="Arial" w:hAnsi="Arial" w:cs="Arial"/>
                <w:b/>
                <w:bCs/>
                <w:strike/>
                <w:color w:val="FF0000"/>
              </w:rPr>
            </w:pPr>
            <w:r w:rsidRPr="00ED5AAE">
              <w:rPr>
                <w:rFonts w:ascii="Arial" w:hAnsi="Arial" w:cs="Arial"/>
                <w:b/>
                <w:bCs/>
                <w:strike/>
                <w:color w:val="FF0000"/>
              </w:rPr>
              <w:t xml:space="preserve">Where adjacent and related residential proposals result in combined numbers meeting or exceeding the above thresholds, the Council will seek an element of affordable housing based on applying the above target percentages to the aggregate number of dwellings. </w:t>
            </w:r>
          </w:p>
          <w:p w14:paraId="58396CFF" w14:textId="77777777" w:rsidR="00AD2642" w:rsidRPr="00ED5AAE" w:rsidRDefault="00AD2642" w:rsidP="00CF49E9">
            <w:pPr>
              <w:rPr>
                <w:rFonts w:ascii="Arial" w:hAnsi="Arial" w:cs="Arial"/>
                <w:b/>
                <w:bCs/>
                <w:strike/>
                <w:color w:val="FF0000"/>
              </w:rPr>
            </w:pPr>
          </w:p>
          <w:p w14:paraId="2C73EFBE" w14:textId="21C68718" w:rsidR="00AD2642" w:rsidRPr="00ED5AAE" w:rsidRDefault="00AD2642" w:rsidP="00CF49E9">
            <w:pPr>
              <w:rPr>
                <w:rFonts w:ascii="Arial" w:hAnsi="Arial" w:cs="Arial"/>
                <w:b/>
                <w:bCs/>
                <w:strike/>
                <w:color w:val="FF0000"/>
              </w:rPr>
            </w:pPr>
            <w:r w:rsidRPr="00ED5AAE">
              <w:rPr>
                <w:rFonts w:ascii="Arial" w:hAnsi="Arial" w:cs="Arial"/>
                <w:b/>
                <w:bCs/>
                <w:strike/>
                <w:color w:val="FF0000"/>
              </w:rPr>
              <w:t xml:space="preserve">Proposals will be required to ensure that the dwelling remains affordable for all subsequent occupants in perpetuity. </w:t>
            </w:r>
          </w:p>
          <w:p w14:paraId="6921749D" w14:textId="77777777" w:rsidR="00AD2642" w:rsidRPr="0075014C" w:rsidRDefault="00AD2642" w:rsidP="00CF49E9">
            <w:pPr>
              <w:rPr>
                <w:rFonts w:ascii="Arial" w:hAnsi="Arial" w:cs="Arial"/>
                <w:b/>
                <w:bCs/>
              </w:rPr>
            </w:pPr>
          </w:p>
          <w:p w14:paraId="2964C1D7" w14:textId="77777777" w:rsidR="00AD2642" w:rsidRPr="00FB0F79" w:rsidRDefault="00AD2642" w:rsidP="00CF49E9">
            <w:pPr>
              <w:rPr>
                <w:rFonts w:ascii="Arial" w:hAnsi="Arial" w:cs="Arial"/>
                <w:b/>
                <w:color w:val="F1A983" w:themeColor="accent2" w:themeTint="99"/>
              </w:rPr>
            </w:pPr>
            <w:r w:rsidRPr="00FB0F79">
              <w:rPr>
                <w:rFonts w:ascii="Arial" w:hAnsi="Arial" w:cs="Arial"/>
                <w:b/>
                <w:color w:val="F1A983" w:themeColor="accent2" w:themeTint="99"/>
              </w:rPr>
              <w:t xml:space="preserve">Commuted Sums </w:t>
            </w:r>
          </w:p>
          <w:p w14:paraId="23726E64" w14:textId="77777777" w:rsidR="00AD2642" w:rsidRDefault="00AD2642" w:rsidP="00CF49E9">
            <w:pPr>
              <w:rPr>
                <w:rFonts w:ascii="Arial" w:hAnsi="Arial" w:cs="Arial"/>
                <w:b/>
                <w:bCs/>
              </w:rPr>
            </w:pPr>
            <w:r w:rsidRPr="0075014C">
              <w:rPr>
                <w:rFonts w:ascii="Arial" w:hAnsi="Arial" w:cs="Arial"/>
                <w:b/>
                <w:bCs/>
              </w:rPr>
              <w:t xml:space="preserve">A commuted sum towards affordable housing will be required from proposals comprising 1 – 9 dwellings. Commuted sum charges will be based on floor space (cost per </w:t>
            </w:r>
            <w:proofErr w:type="spellStart"/>
            <w:r w:rsidRPr="0075014C">
              <w:rPr>
                <w:rFonts w:ascii="Arial" w:hAnsi="Arial" w:cs="Arial"/>
                <w:b/>
                <w:bCs/>
              </w:rPr>
              <w:t>sq.m</w:t>
            </w:r>
            <w:proofErr w:type="spellEnd"/>
            <w:r w:rsidRPr="0075014C">
              <w:rPr>
                <w:rFonts w:ascii="Arial" w:hAnsi="Arial" w:cs="Arial"/>
                <w:b/>
                <w:bCs/>
              </w:rPr>
              <w:t xml:space="preserve">). </w:t>
            </w:r>
          </w:p>
          <w:p w14:paraId="757E7C42" w14:textId="77777777" w:rsidR="00AD2642" w:rsidRDefault="00AD2642" w:rsidP="00CF49E9">
            <w:pPr>
              <w:rPr>
                <w:rFonts w:ascii="Arial" w:hAnsi="Arial" w:cs="Arial"/>
                <w:b/>
                <w:bCs/>
              </w:rPr>
            </w:pPr>
          </w:p>
          <w:p w14:paraId="7E6862D5" w14:textId="77777777" w:rsidR="00AD2642" w:rsidRPr="00AA7927" w:rsidRDefault="00AD2642" w:rsidP="00AA7927">
            <w:pPr>
              <w:rPr>
                <w:rFonts w:ascii="Arial" w:hAnsi="Arial" w:cs="Arial"/>
                <w:b/>
                <w:bCs/>
              </w:rPr>
            </w:pPr>
            <w:r w:rsidRPr="00AA7927">
              <w:rPr>
                <w:rFonts w:ascii="Arial" w:hAnsi="Arial" w:cs="Arial"/>
                <w:b/>
                <w:bCs/>
              </w:rPr>
              <w:lastRenderedPageBreak/>
              <w:t xml:space="preserve">Proposals for single dwellings categorised as 3-bed, 4-person dwellings or smaller, and less than 88 square metres will be exempt. </w:t>
            </w:r>
          </w:p>
          <w:p w14:paraId="14940C38" w14:textId="77777777" w:rsidR="00AD2642" w:rsidRPr="00ED5AAE" w:rsidRDefault="00AD2642" w:rsidP="00CF49E9">
            <w:pPr>
              <w:rPr>
                <w:rFonts w:ascii="Arial" w:hAnsi="Arial" w:cs="Arial"/>
                <w:b/>
                <w:bCs/>
                <w:strike/>
                <w:color w:val="FF0000"/>
              </w:rPr>
            </w:pPr>
          </w:p>
          <w:p w14:paraId="31A979F5" w14:textId="05A48BCE" w:rsidR="00AD2642" w:rsidRPr="00ED5AAE" w:rsidRDefault="00AD2642" w:rsidP="00CF49E9">
            <w:pPr>
              <w:rPr>
                <w:rFonts w:ascii="Arial" w:hAnsi="Arial" w:cs="Arial"/>
                <w:b/>
                <w:bCs/>
                <w:strike/>
                <w:color w:val="FF0000"/>
              </w:rPr>
            </w:pPr>
            <w:r w:rsidRPr="00ED5AAE">
              <w:rPr>
                <w:rFonts w:ascii="Arial" w:hAnsi="Arial" w:cs="Arial"/>
                <w:b/>
                <w:bCs/>
                <w:strike/>
                <w:color w:val="FF0000"/>
              </w:rPr>
              <w:t xml:space="preserve">Where the above requirements cannot be achieved due to their impacts upon a proposal’s financial viability, a variation may be agreed on a case-by-case basis. </w:t>
            </w:r>
          </w:p>
          <w:p w14:paraId="3716ADA1" w14:textId="77777777" w:rsidR="00AD2642" w:rsidRDefault="00AD2642" w:rsidP="00CF49E9"/>
          <w:p w14:paraId="05D4D312" w14:textId="50D075CF" w:rsidR="00AD2642" w:rsidRPr="0061798C" w:rsidRDefault="00AD2642" w:rsidP="00CF49E9">
            <w:pPr>
              <w:rPr>
                <w:rFonts w:ascii="Arial" w:hAnsi="Arial" w:cs="Arial"/>
                <w:sz w:val="22"/>
                <w:szCs w:val="22"/>
              </w:rPr>
            </w:pPr>
            <w:r w:rsidRPr="0061798C">
              <w:rPr>
                <w:rFonts w:ascii="Arial" w:hAnsi="Arial" w:cs="Arial"/>
                <w:sz w:val="22"/>
                <w:szCs w:val="22"/>
              </w:rPr>
              <w:t xml:space="preserve">11.118 Policies AHOM1 and AHOM2 aim to assist the Council to meet its housing need and </w:t>
            </w:r>
            <w:proofErr w:type="gramStart"/>
            <w:r w:rsidRPr="0061798C">
              <w:rPr>
                <w:rFonts w:ascii="Arial" w:hAnsi="Arial" w:cs="Arial"/>
                <w:sz w:val="22"/>
                <w:szCs w:val="22"/>
              </w:rPr>
              <w:t>in particular to</w:t>
            </w:r>
            <w:proofErr w:type="gramEnd"/>
            <w:r w:rsidRPr="0061798C">
              <w:rPr>
                <w:rFonts w:ascii="Arial" w:hAnsi="Arial" w:cs="Arial"/>
                <w:sz w:val="22"/>
                <w:szCs w:val="22"/>
              </w:rPr>
              <w:t xml:space="preserve"> deliver the affordable housing need identified in Policy HOM1. </w:t>
            </w:r>
          </w:p>
          <w:p w14:paraId="5AE09628" w14:textId="77777777" w:rsidR="00AD2642" w:rsidRPr="0061798C" w:rsidRDefault="00AD2642" w:rsidP="00CF49E9">
            <w:pPr>
              <w:rPr>
                <w:rFonts w:ascii="Arial" w:hAnsi="Arial" w:cs="Arial"/>
                <w:sz w:val="22"/>
                <w:szCs w:val="22"/>
              </w:rPr>
            </w:pPr>
          </w:p>
          <w:p w14:paraId="52507294" w14:textId="77777777" w:rsidR="00AD2642" w:rsidRPr="0061798C" w:rsidRDefault="00AD2642" w:rsidP="00CF49E9">
            <w:pPr>
              <w:rPr>
                <w:rFonts w:ascii="Arial" w:hAnsi="Arial" w:cs="Arial"/>
                <w:sz w:val="22"/>
                <w:szCs w:val="22"/>
              </w:rPr>
            </w:pPr>
            <w:r w:rsidRPr="0061798C">
              <w:rPr>
                <w:rFonts w:ascii="Arial" w:hAnsi="Arial" w:cs="Arial"/>
                <w:sz w:val="22"/>
                <w:szCs w:val="22"/>
              </w:rPr>
              <w:t xml:space="preserve">11.119 The policy sets out the affordable housing contributions to be provided. The requirements of the policy reflect the findings of the Revised LDP’s </w:t>
            </w:r>
            <w:r w:rsidRPr="001E6396">
              <w:rPr>
                <w:rFonts w:ascii="Arial" w:hAnsi="Arial" w:cs="Arial"/>
                <w:strike/>
                <w:color w:val="FF0000"/>
                <w:sz w:val="22"/>
                <w:szCs w:val="22"/>
              </w:rPr>
              <w:t>ongoing</w:t>
            </w:r>
            <w:r w:rsidRPr="0061798C">
              <w:rPr>
                <w:rFonts w:ascii="Arial" w:hAnsi="Arial" w:cs="Arial"/>
                <w:sz w:val="22"/>
                <w:szCs w:val="22"/>
              </w:rPr>
              <w:t xml:space="preserve"> Viability Study and takes into consideration other factors such as the LHMA, past delivery rates and the need for flexibility to allow for variances between sites. </w:t>
            </w:r>
          </w:p>
          <w:p w14:paraId="3B9D2B9B" w14:textId="77777777" w:rsidR="00AD2642" w:rsidRPr="0061798C" w:rsidRDefault="00AD2642" w:rsidP="00CF49E9">
            <w:pPr>
              <w:rPr>
                <w:rFonts w:ascii="Arial" w:hAnsi="Arial" w:cs="Arial"/>
                <w:sz w:val="22"/>
                <w:szCs w:val="22"/>
              </w:rPr>
            </w:pPr>
          </w:p>
          <w:p w14:paraId="3B322E2C" w14:textId="77777777" w:rsidR="00AD2642" w:rsidRPr="0061798C" w:rsidRDefault="00AD2642" w:rsidP="00CF49E9">
            <w:pPr>
              <w:rPr>
                <w:rFonts w:ascii="Arial" w:hAnsi="Arial" w:cs="Arial"/>
                <w:sz w:val="22"/>
                <w:szCs w:val="22"/>
              </w:rPr>
            </w:pPr>
            <w:r w:rsidRPr="0061798C">
              <w:rPr>
                <w:rFonts w:ascii="Arial" w:hAnsi="Arial" w:cs="Arial"/>
                <w:sz w:val="22"/>
                <w:szCs w:val="22"/>
              </w:rPr>
              <w:t xml:space="preserve">11.120 The Policy’s requirements for on-site contributions apply to all proposed housing developments located within settlement boundaries with a capacity to deliver a net increase of 10 dwellings or more new homes. Those sites which fall outside of the settlement boundaries will be subject to the requirements of Policy AHOM2. </w:t>
            </w:r>
          </w:p>
          <w:p w14:paraId="2A47F361" w14:textId="77777777" w:rsidR="00AD2642" w:rsidRPr="0061798C" w:rsidRDefault="00AD2642" w:rsidP="00CF49E9">
            <w:pPr>
              <w:rPr>
                <w:rFonts w:ascii="Arial" w:hAnsi="Arial" w:cs="Arial"/>
                <w:sz w:val="22"/>
                <w:szCs w:val="22"/>
              </w:rPr>
            </w:pPr>
          </w:p>
          <w:p w14:paraId="071D2E9D" w14:textId="66309BDD" w:rsidR="00AD2642" w:rsidRPr="0061798C" w:rsidRDefault="00AD2642" w:rsidP="00CF49E9">
            <w:pPr>
              <w:rPr>
                <w:rFonts w:ascii="Arial" w:hAnsi="Arial" w:cs="Arial"/>
                <w:color w:val="00B050"/>
                <w:sz w:val="22"/>
                <w:szCs w:val="22"/>
              </w:rPr>
            </w:pPr>
            <w:r w:rsidRPr="0061798C">
              <w:rPr>
                <w:rFonts w:ascii="Arial" w:hAnsi="Arial" w:cs="Arial"/>
                <w:color w:val="00B050"/>
                <w:sz w:val="22"/>
                <w:szCs w:val="22"/>
              </w:rPr>
              <w:t xml:space="preserve">New paragraph number: The affordable housing target percentage noted within the policy is a target to be used as a starting point for affordable housing negotiations. </w:t>
            </w:r>
          </w:p>
          <w:p w14:paraId="48B69AEE" w14:textId="77777777" w:rsidR="00AD2642" w:rsidRPr="0061798C" w:rsidRDefault="00AD2642" w:rsidP="00CF49E9">
            <w:pPr>
              <w:rPr>
                <w:rFonts w:ascii="Arial" w:hAnsi="Arial" w:cs="Arial"/>
                <w:sz w:val="22"/>
                <w:szCs w:val="22"/>
              </w:rPr>
            </w:pPr>
          </w:p>
          <w:p w14:paraId="6FA0C949" w14:textId="0B143B21" w:rsidR="00AD2642" w:rsidRPr="005B6890" w:rsidRDefault="00AD2642" w:rsidP="00CF49E9">
            <w:pPr>
              <w:rPr>
                <w:rFonts w:ascii="Arial" w:hAnsi="Arial" w:cs="Arial"/>
                <w:color w:val="00B050"/>
                <w:sz w:val="22"/>
                <w:szCs w:val="22"/>
              </w:rPr>
            </w:pPr>
            <w:r w:rsidRPr="005B6890">
              <w:rPr>
                <w:rFonts w:ascii="Arial" w:hAnsi="Arial" w:cs="Arial"/>
                <w:color w:val="00B050"/>
                <w:sz w:val="22"/>
                <w:szCs w:val="22"/>
              </w:rPr>
              <w:t>New paragraph number: Where adjacent and related residential proposals result in combined numbers meeting or exceeding the above thresholds, the Council will seek an element of affordable housing based on applying the above target percentages to the aggregate number of dwellings.</w:t>
            </w:r>
          </w:p>
          <w:p w14:paraId="50B330D0" w14:textId="77777777" w:rsidR="00AD2642" w:rsidRPr="005B6890" w:rsidRDefault="00AD2642" w:rsidP="00CF49E9">
            <w:pPr>
              <w:rPr>
                <w:rFonts w:ascii="Arial" w:hAnsi="Arial" w:cs="Arial"/>
                <w:color w:val="00B050"/>
                <w:sz w:val="22"/>
                <w:szCs w:val="22"/>
              </w:rPr>
            </w:pPr>
          </w:p>
          <w:p w14:paraId="14AA4FE1" w14:textId="3CB224E6" w:rsidR="00AD2642" w:rsidRPr="005B6890" w:rsidRDefault="00AD2642" w:rsidP="00CF49E9">
            <w:pPr>
              <w:rPr>
                <w:rFonts w:ascii="Arial" w:hAnsi="Arial" w:cs="Arial"/>
                <w:color w:val="00B050"/>
                <w:sz w:val="22"/>
                <w:szCs w:val="22"/>
              </w:rPr>
            </w:pPr>
            <w:r w:rsidRPr="005B6890">
              <w:rPr>
                <w:rFonts w:ascii="Arial" w:hAnsi="Arial" w:cs="Arial"/>
                <w:color w:val="00B050"/>
                <w:sz w:val="22"/>
                <w:szCs w:val="22"/>
              </w:rPr>
              <w:lastRenderedPageBreak/>
              <w:t>New paragraph number</w:t>
            </w:r>
            <w:r>
              <w:rPr>
                <w:rFonts w:ascii="Arial" w:hAnsi="Arial" w:cs="Arial"/>
                <w:color w:val="00B050"/>
                <w:sz w:val="22"/>
                <w:szCs w:val="22"/>
              </w:rPr>
              <w:t>:</w:t>
            </w:r>
            <w:r w:rsidRPr="005B6890">
              <w:rPr>
                <w:rFonts w:ascii="Arial" w:hAnsi="Arial" w:cs="Arial"/>
                <w:color w:val="00B050"/>
                <w:sz w:val="22"/>
                <w:szCs w:val="22"/>
              </w:rPr>
              <w:t xml:space="preserve"> Proposals will be required to ensure that the dwelling remains affordable for all subsequent occupants in perpetuity.</w:t>
            </w:r>
          </w:p>
          <w:p w14:paraId="4862D8AF" w14:textId="77777777" w:rsidR="00AD2642" w:rsidRPr="0061798C" w:rsidRDefault="00AD2642" w:rsidP="00CF49E9">
            <w:pPr>
              <w:rPr>
                <w:rFonts w:ascii="Arial" w:hAnsi="Arial" w:cs="Arial"/>
                <w:sz w:val="22"/>
                <w:szCs w:val="22"/>
              </w:rPr>
            </w:pPr>
          </w:p>
          <w:p w14:paraId="226B9502" w14:textId="64C72EFF" w:rsidR="00AD2642" w:rsidRPr="0061798C" w:rsidRDefault="00AD2642" w:rsidP="00CF49E9">
            <w:pPr>
              <w:rPr>
                <w:rFonts w:ascii="Arial" w:hAnsi="Arial" w:cs="Arial"/>
                <w:sz w:val="22"/>
                <w:szCs w:val="22"/>
              </w:rPr>
            </w:pPr>
            <w:r w:rsidRPr="0061798C">
              <w:rPr>
                <w:rFonts w:ascii="Arial" w:hAnsi="Arial" w:cs="Arial"/>
                <w:sz w:val="22"/>
                <w:szCs w:val="22"/>
              </w:rPr>
              <w:t xml:space="preserve">11.121 The policy’s requirements for commuted sums apply to all proposed open market proposals resulting in a net increase of 1 – 9 new dwellings, </w:t>
            </w:r>
            <w:proofErr w:type="gramStart"/>
            <w:r w:rsidRPr="0061798C">
              <w:rPr>
                <w:rFonts w:ascii="Arial" w:hAnsi="Arial" w:cs="Arial"/>
                <w:sz w:val="22"/>
                <w:szCs w:val="22"/>
              </w:rPr>
              <w:t>with the exception of</w:t>
            </w:r>
            <w:proofErr w:type="gramEnd"/>
            <w:r w:rsidRPr="0061798C">
              <w:rPr>
                <w:rFonts w:ascii="Arial" w:hAnsi="Arial" w:cs="Arial"/>
                <w:sz w:val="22"/>
                <w:szCs w:val="22"/>
              </w:rPr>
              <w:t xml:space="preserve"> single dwellings which are categorised as 3-bed, 4-person homes and not exceeding 88 square metres in internal, habitable floor space. </w:t>
            </w:r>
          </w:p>
          <w:p w14:paraId="7F572ABE" w14:textId="77777777" w:rsidR="00AD2642" w:rsidRPr="0061798C" w:rsidRDefault="00AD2642" w:rsidP="00CF49E9">
            <w:pPr>
              <w:rPr>
                <w:rFonts w:ascii="Arial" w:hAnsi="Arial" w:cs="Arial"/>
                <w:sz w:val="22"/>
                <w:szCs w:val="22"/>
              </w:rPr>
            </w:pPr>
          </w:p>
          <w:p w14:paraId="1EEA3B9D" w14:textId="14403C54" w:rsidR="00AD2642" w:rsidRDefault="00AD2642" w:rsidP="00CF49E9">
            <w:r w:rsidRPr="0061798C">
              <w:rPr>
                <w:rFonts w:ascii="Arial" w:hAnsi="Arial" w:cs="Arial"/>
                <w:sz w:val="22"/>
                <w:szCs w:val="22"/>
              </w:rPr>
              <w:t>11.122 The mix of dwelling sizes, types and tenure required to be provided on each site will vary according to the specific needs of the locality at the time of application. This will need to take into consideration the latest information on housing need from the LHMA, alongside any relevant local information such as the Council’s waiting list and any recently delivered affordable housing units within the area</w:t>
            </w:r>
          </w:p>
        </w:tc>
        <w:tc>
          <w:tcPr>
            <w:tcW w:w="4853" w:type="dxa"/>
          </w:tcPr>
          <w:p w14:paraId="72B9AB9D" w14:textId="327C9421" w:rsidR="00AD2642" w:rsidRDefault="00477AC0" w:rsidP="00CF49E9">
            <w:r>
              <w:lastRenderedPageBreak/>
              <w:t>Change agreed</w:t>
            </w:r>
          </w:p>
        </w:tc>
      </w:tr>
      <w:tr w:rsidR="00AD2642" w14:paraId="63C1F966" w14:textId="77777777" w:rsidTr="00AD2642">
        <w:tc>
          <w:tcPr>
            <w:tcW w:w="1696" w:type="dxa"/>
          </w:tcPr>
          <w:p w14:paraId="32D89F26" w14:textId="28FF9498" w:rsidR="00AD2642" w:rsidRDefault="00AD2642" w:rsidP="00CF49E9">
            <w:r w:rsidRPr="00CA2AC1">
              <w:rPr>
                <w:rFonts w:ascii="Arial" w:hAnsi="Arial" w:cs="Arial"/>
                <w:b/>
                <w:bCs/>
              </w:rPr>
              <w:lastRenderedPageBreak/>
              <w:t>AP</w:t>
            </w:r>
            <w:r>
              <w:rPr>
                <w:rFonts w:ascii="Arial" w:hAnsi="Arial" w:cs="Arial"/>
                <w:b/>
                <w:bCs/>
              </w:rPr>
              <w:t>3</w:t>
            </w:r>
            <w:r w:rsidRPr="00CA2AC1">
              <w:rPr>
                <w:rFonts w:ascii="Arial" w:hAnsi="Arial" w:cs="Arial"/>
                <w:b/>
                <w:bCs/>
              </w:rPr>
              <w:t>/</w:t>
            </w:r>
            <w:r>
              <w:rPr>
                <w:rFonts w:ascii="Arial" w:hAnsi="Arial" w:cs="Arial"/>
                <w:b/>
                <w:bCs/>
              </w:rPr>
              <w:t>3</w:t>
            </w:r>
            <w:r w:rsidRPr="00CA2AC1">
              <w:rPr>
                <w:rFonts w:ascii="Arial" w:hAnsi="Arial" w:cs="Arial"/>
                <w:b/>
                <w:bCs/>
              </w:rPr>
              <w:t xml:space="preserve"> </w:t>
            </w:r>
          </w:p>
        </w:tc>
        <w:tc>
          <w:tcPr>
            <w:tcW w:w="7621" w:type="dxa"/>
          </w:tcPr>
          <w:p w14:paraId="176497FE" w14:textId="77777777" w:rsidR="00AD2642" w:rsidRPr="00B13F74" w:rsidRDefault="00AD2642" w:rsidP="00CA1C05">
            <w:pPr>
              <w:spacing w:line="360" w:lineRule="auto"/>
              <w:ind w:right="147"/>
              <w:rPr>
                <w:rFonts w:ascii="Arial" w:hAnsi="Arial" w:cs="Arial"/>
                <w:b/>
                <w:color w:val="F1A983" w:themeColor="accent2" w:themeTint="99"/>
              </w:rPr>
            </w:pPr>
            <w:r w:rsidRPr="00B13F74">
              <w:rPr>
                <w:rFonts w:ascii="Arial" w:hAnsi="Arial" w:cs="Arial"/>
                <w:b/>
                <w:color w:val="F1A983" w:themeColor="accent2" w:themeTint="99"/>
              </w:rPr>
              <w:t>AHOM2: Affordable Housing- Exceptions Sites</w:t>
            </w:r>
          </w:p>
          <w:p w14:paraId="0927BAC7" w14:textId="0D12289E" w:rsidR="00AD2642" w:rsidRPr="00E834BC" w:rsidRDefault="00AD2642" w:rsidP="00CA1C05">
            <w:pPr>
              <w:spacing w:before="100" w:beforeAutospacing="1" w:after="100" w:afterAutospacing="1"/>
              <w:ind w:hanging="15"/>
              <w:rPr>
                <w:rFonts w:ascii="Arial" w:eastAsia="Times New Roman" w:hAnsi="Arial" w:cs="Arial"/>
                <w:color w:val="000000"/>
                <w:lang w:eastAsia="en-GB"/>
              </w:rPr>
            </w:pPr>
            <w:r w:rsidRPr="002D7279">
              <w:rPr>
                <w:rFonts w:ascii="Arial" w:eastAsia="Times New Roman" w:hAnsi="Arial" w:cs="Arial"/>
                <w:b/>
                <w:bCs/>
                <w:color w:val="000000"/>
                <w:lang w:eastAsia="en-GB"/>
              </w:rPr>
              <w:t xml:space="preserve">Proposals for 100% affordable housing development on sites </w:t>
            </w:r>
            <w:r>
              <w:rPr>
                <w:rFonts w:ascii="Arial" w:eastAsia="Times New Roman" w:hAnsi="Arial" w:cs="Arial"/>
                <w:b/>
                <w:bCs/>
                <w:color w:val="000000"/>
                <w:lang w:eastAsia="en-GB"/>
              </w:rPr>
              <w:t>adjoining</w:t>
            </w:r>
            <w:r w:rsidRPr="002D7279">
              <w:rPr>
                <w:rFonts w:ascii="Arial" w:eastAsia="Times New Roman" w:hAnsi="Arial" w:cs="Arial"/>
                <w:b/>
                <w:bCs/>
                <w:color w:val="000000"/>
                <w:lang w:eastAsia="en-GB"/>
              </w:rPr>
              <w:t xml:space="preserve"> </w:t>
            </w:r>
            <w:r w:rsidRPr="00FE63F5">
              <w:rPr>
                <w:rFonts w:ascii="Arial" w:eastAsia="Times New Roman" w:hAnsi="Arial" w:cs="Arial"/>
                <w:b/>
                <w:bCs/>
                <w:color w:val="000000"/>
                <w:lang w:eastAsia="en-GB"/>
              </w:rPr>
              <w:t xml:space="preserve">the </w:t>
            </w:r>
            <w:proofErr w:type="spellStart"/>
            <w:r w:rsidRPr="00FE63F5">
              <w:rPr>
                <w:rFonts w:ascii="Arial" w:eastAsia="Times New Roman" w:hAnsi="Arial" w:cs="Arial"/>
                <w:b/>
                <w:bCs/>
                <w:strike/>
                <w:color w:val="FF0000"/>
                <w:lang w:eastAsia="en-GB"/>
              </w:rPr>
              <w:t>D</w:t>
            </w:r>
            <w:r w:rsidRPr="00FE63F5">
              <w:rPr>
                <w:rFonts w:ascii="Arial" w:eastAsia="Times New Roman" w:hAnsi="Arial" w:cs="Arial"/>
                <w:b/>
                <w:bCs/>
                <w:color w:val="00B050"/>
                <w:lang w:eastAsia="en-GB"/>
              </w:rPr>
              <w:t>d</w:t>
            </w:r>
            <w:r w:rsidRPr="00FE63F5">
              <w:rPr>
                <w:rFonts w:ascii="Arial" w:eastAsia="Times New Roman" w:hAnsi="Arial" w:cs="Arial"/>
                <w:b/>
                <w:bCs/>
                <w:color w:val="000000"/>
                <w:lang w:eastAsia="en-GB"/>
              </w:rPr>
              <w:t>evelopment</w:t>
            </w:r>
            <w:proofErr w:type="spellEnd"/>
            <w:r w:rsidRPr="00FE63F5">
              <w:rPr>
                <w:rFonts w:ascii="Arial" w:eastAsia="Times New Roman" w:hAnsi="Arial" w:cs="Arial"/>
                <w:b/>
                <w:bCs/>
                <w:color w:val="000000"/>
                <w:lang w:eastAsia="en-GB"/>
              </w:rPr>
              <w:t xml:space="preserve"> </w:t>
            </w:r>
            <w:proofErr w:type="spellStart"/>
            <w:r w:rsidRPr="00FE63F5">
              <w:rPr>
                <w:rFonts w:ascii="Arial" w:eastAsia="Times New Roman" w:hAnsi="Arial" w:cs="Arial"/>
                <w:b/>
                <w:bCs/>
                <w:strike/>
                <w:color w:val="FF0000"/>
                <w:lang w:eastAsia="en-GB"/>
              </w:rPr>
              <w:t>L</w:t>
            </w:r>
            <w:r w:rsidRPr="00FE63F5">
              <w:rPr>
                <w:rFonts w:ascii="Arial" w:eastAsia="Times New Roman" w:hAnsi="Arial" w:cs="Arial"/>
                <w:b/>
                <w:bCs/>
                <w:strike/>
                <w:color w:val="00B050"/>
                <w:lang w:eastAsia="en-GB"/>
              </w:rPr>
              <w:t>l</w:t>
            </w:r>
            <w:r w:rsidRPr="00FE63F5">
              <w:rPr>
                <w:rFonts w:ascii="Arial" w:eastAsia="Times New Roman" w:hAnsi="Arial" w:cs="Arial"/>
                <w:b/>
                <w:bCs/>
                <w:color w:val="000000"/>
                <w:lang w:eastAsia="en-GB"/>
              </w:rPr>
              <w:t>imits</w:t>
            </w:r>
            <w:proofErr w:type="spellEnd"/>
            <w:r w:rsidRPr="00FE63F5">
              <w:rPr>
                <w:rFonts w:ascii="Arial" w:eastAsia="Times New Roman" w:hAnsi="Arial" w:cs="Arial"/>
                <w:b/>
                <w:bCs/>
                <w:color w:val="000000"/>
                <w:lang w:eastAsia="en-GB"/>
              </w:rPr>
              <w:t xml:space="preserve"> of</w:t>
            </w:r>
            <w:r w:rsidRPr="002D7279">
              <w:rPr>
                <w:rFonts w:ascii="Arial" w:eastAsia="Times New Roman" w:hAnsi="Arial" w:cs="Arial"/>
                <w:b/>
                <w:bCs/>
                <w:color w:val="000000"/>
                <w:lang w:eastAsia="en-GB"/>
              </w:rPr>
              <w:t xml:space="preserve"> defined settlements (</w:t>
            </w:r>
            <w:r>
              <w:rPr>
                <w:rFonts w:ascii="Arial" w:eastAsia="Times New Roman" w:hAnsi="Arial" w:cs="Arial"/>
                <w:b/>
                <w:bCs/>
                <w:color w:val="000000"/>
                <w:lang w:eastAsia="en-GB"/>
              </w:rPr>
              <w:t>Tiers 1-</w:t>
            </w:r>
            <w:r w:rsidRPr="003E15DF">
              <w:rPr>
                <w:rFonts w:ascii="Arial" w:eastAsia="Times New Roman" w:hAnsi="Arial" w:cs="Arial"/>
                <w:b/>
                <w:bCs/>
                <w:color w:val="000000"/>
                <w:lang w:eastAsia="en-GB"/>
              </w:rPr>
              <w:t>3 in Policy SP3</w:t>
            </w:r>
            <w:r w:rsidRPr="00E834BC">
              <w:rPr>
                <w:rFonts w:ascii="Arial" w:eastAsia="Times New Roman" w:hAnsi="Arial" w:cs="Arial"/>
                <w:b/>
                <w:bCs/>
                <w:color w:val="000000"/>
                <w:lang w:eastAsia="en-GB"/>
              </w:rPr>
              <w:t>),</w:t>
            </w:r>
            <w:r>
              <w:rPr>
                <w:rFonts w:ascii="Arial" w:eastAsia="Times New Roman" w:hAnsi="Arial" w:cs="Arial"/>
                <w:b/>
                <w:bCs/>
                <w:color w:val="000000"/>
                <w:lang w:eastAsia="en-GB"/>
              </w:rPr>
              <w:t xml:space="preserve"> </w:t>
            </w:r>
            <w:r w:rsidRPr="00911768">
              <w:rPr>
                <w:rFonts w:ascii="Arial" w:eastAsia="Times New Roman" w:hAnsi="Arial" w:cs="Arial"/>
                <w:b/>
                <w:bCs/>
                <w:color w:val="00B050"/>
                <w:lang w:eastAsia="en-GB"/>
              </w:rPr>
              <w:t xml:space="preserve">and in those settlements identified as Rural Villages </w:t>
            </w:r>
            <w:r>
              <w:rPr>
                <w:rFonts w:ascii="Arial" w:eastAsia="Times New Roman" w:hAnsi="Arial" w:cs="Arial"/>
                <w:b/>
                <w:bCs/>
                <w:color w:val="00B050"/>
                <w:lang w:eastAsia="en-GB"/>
              </w:rPr>
              <w:t>(</w:t>
            </w:r>
            <w:r w:rsidRPr="00911768">
              <w:rPr>
                <w:rFonts w:ascii="Arial" w:eastAsia="Times New Roman" w:hAnsi="Arial" w:cs="Arial"/>
                <w:b/>
                <w:bCs/>
                <w:color w:val="00B050"/>
                <w:lang w:eastAsia="en-GB"/>
              </w:rPr>
              <w:t>Tier 4)</w:t>
            </w:r>
            <w:r>
              <w:rPr>
                <w:rFonts w:ascii="Arial" w:eastAsia="Times New Roman" w:hAnsi="Arial" w:cs="Arial"/>
                <w:b/>
                <w:bCs/>
                <w:color w:val="000000"/>
                <w:lang w:eastAsia="en-GB"/>
              </w:rPr>
              <w:t xml:space="preserve"> </w:t>
            </w:r>
            <w:r w:rsidRPr="00911768">
              <w:rPr>
                <w:rFonts w:ascii="Arial" w:eastAsia="Times New Roman" w:hAnsi="Arial" w:cs="Arial"/>
                <w:b/>
                <w:bCs/>
                <w:strike/>
                <w:color w:val="FF0000"/>
                <w:lang w:eastAsia="en-GB"/>
              </w:rPr>
              <w:t xml:space="preserve">settlements </w:t>
            </w:r>
            <w:r w:rsidRPr="00E834BC">
              <w:rPr>
                <w:rFonts w:ascii="Arial" w:eastAsia="Times New Roman" w:hAnsi="Arial" w:cs="Arial"/>
                <w:b/>
                <w:bCs/>
                <w:color w:val="000000"/>
                <w:lang w:eastAsia="en-GB"/>
              </w:rPr>
              <w:t>will</w:t>
            </w:r>
            <w:r w:rsidRPr="002A1F8F">
              <w:rPr>
                <w:rFonts w:ascii="Arial" w:eastAsia="Times New Roman" w:hAnsi="Arial" w:cs="Arial"/>
                <w:b/>
                <w:bCs/>
                <w:strike/>
                <w:color w:val="FF0000"/>
                <w:lang w:eastAsia="en-GB"/>
              </w:rPr>
              <w:t>, in exceptional circumstances</w:t>
            </w:r>
            <w:r w:rsidRPr="002A1F8F">
              <w:rPr>
                <w:rFonts w:ascii="Arial" w:eastAsia="Times New Roman" w:hAnsi="Arial" w:cs="Arial"/>
                <w:b/>
                <w:bCs/>
                <w:color w:val="FF0000"/>
                <w:lang w:eastAsia="en-GB"/>
              </w:rPr>
              <w:t xml:space="preserve"> </w:t>
            </w:r>
            <w:r w:rsidRPr="00E834BC">
              <w:rPr>
                <w:rFonts w:ascii="Arial" w:eastAsia="Times New Roman" w:hAnsi="Arial" w:cs="Arial"/>
                <w:b/>
                <w:bCs/>
                <w:color w:val="000000"/>
                <w:lang w:eastAsia="en-GB"/>
              </w:rPr>
              <w:t xml:space="preserve">be permitted where it is to meet a genuine identified local need </w:t>
            </w:r>
            <w:r w:rsidRPr="00334739">
              <w:rPr>
                <w:rFonts w:ascii="Arial" w:eastAsia="Times New Roman" w:hAnsi="Arial" w:cs="Arial"/>
                <w:b/>
                <w:bCs/>
                <w:strike/>
                <w:color w:val="FF0000"/>
                <w:lang w:eastAsia="en-GB"/>
              </w:rPr>
              <w:t>(as defined within the Glossary of Terms)</w:t>
            </w:r>
            <w:r w:rsidRPr="00E834BC">
              <w:rPr>
                <w:rFonts w:ascii="Arial" w:eastAsia="Times New Roman" w:hAnsi="Arial" w:cs="Arial"/>
                <w:b/>
                <w:bCs/>
                <w:color w:val="000000"/>
                <w:lang w:eastAsia="en-GB"/>
              </w:rPr>
              <w:t xml:space="preserve"> and where:</w:t>
            </w:r>
          </w:p>
          <w:p w14:paraId="54350D0E" w14:textId="77777777" w:rsidR="00AD2642" w:rsidRPr="00E834BC" w:rsidRDefault="00AD2642" w:rsidP="00CA1C05">
            <w:pPr>
              <w:numPr>
                <w:ilvl w:val="0"/>
                <w:numId w:val="1"/>
              </w:numPr>
              <w:spacing w:before="100" w:beforeAutospacing="1" w:after="100" w:afterAutospacing="1"/>
              <w:rPr>
                <w:rFonts w:ascii="Arial" w:eastAsia="Times New Roman" w:hAnsi="Arial" w:cs="Arial"/>
                <w:b/>
                <w:bCs/>
                <w:color w:val="000000"/>
                <w:lang w:eastAsia="en-GB"/>
              </w:rPr>
            </w:pPr>
            <w:r w:rsidRPr="00E834BC">
              <w:rPr>
                <w:rFonts w:ascii="Arial" w:eastAsia="Times New Roman" w:hAnsi="Arial" w:cs="Arial"/>
                <w:b/>
                <w:bCs/>
                <w:color w:val="000000"/>
                <w:lang w:eastAsia="en-GB"/>
              </w:rPr>
              <w:t xml:space="preserve">The site represents a logical extension to the </w:t>
            </w:r>
            <w:r>
              <w:rPr>
                <w:rFonts w:ascii="Arial" w:eastAsia="Times New Roman" w:hAnsi="Arial" w:cs="Arial"/>
                <w:b/>
                <w:bCs/>
                <w:color w:val="000000"/>
                <w:lang w:eastAsia="en-GB"/>
              </w:rPr>
              <w:t>d</w:t>
            </w:r>
            <w:r w:rsidRPr="00E834BC">
              <w:rPr>
                <w:rFonts w:ascii="Arial" w:eastAsia="Times New Roman" w:hAnsi="Arial" w:cs="Arial"/>
                <w:b/>
                <w:bCs/>
                <w:color w:val="000000"/>
                <w:lang w:eastAsia="en-GB"/>
              </w:rPr>
              <w:t xml:space="preserve">evelopment </w:t>
            </w:r>
            <w:r>
              <w:rPr>
                <w:rFonts w:ascii="Arial" w:eastAsia="Times New Roman" w:hAnsi="Arial" w:cs="Arial"/>
                <w:b/>
                <w:bCs/>
                <w:color w:val="000000"/>
                <w:lang w:eastAsia="en-GB"/>
              </w:rPr>
              <w:t>l</w:t>
            </w:r>
            <w:r w:rsidRPr="00E834BC">
              <w:rPr>
                <w:rFonts w:ascii="Arial" w:eastAsia="Times New Roman" w:hAnsi="Arial" w:cs="Arial"/>
                <w:b/>
                <w:bCs/>
                <w:color w:val="000000"/>
                <w:lang w:eastAsia="en-GB"/>
              </w:rPr>
              <w:t>imits and is of a scale appropriate</w:t>
            </w:r>
            <w:r>
              <w:rPr>
                <w:rFonts w:ascii="Arial" w:eastAsia="Times New Roman" w:hAnsi="Arial" w:cs="Arial"/>
                <w:b/>
                <w:bCs/>
                <w:color w:val="000000"/>
                <w:lang w:eastAsia="en-GB"/>
              </w:rPr>
              <w:t>,</w:t>
            </w:r>
            <w:r w:rsidRPr="00E834BC">
              <w:rPr>
                <w:rFonts w:ascii="Arial" w:eastAsia="Times New Roman" w:hAnsi="Arial" w:cs="Arial"/>
                <w:b/>
                <w:bCs/>
                <w:color w:val="000000"/>
                <w:lang w:eastAsia="en-GB"/>
              </w:rPr>
              <w:t xml:space="preserve"> and in keeping with the character of the </w:t>
            </w:r>
            <w:proofErr w:type="gramStart"/>
            <w:r w:rsidRPr="00E834BC">
              <w:rPr>
                <w:rFonts w:ascii="Arial" w:eastAsia="Times New Roman" w:hAnsi="Arial" w:cs="Arial"/>
                <w:b/>
                <w:bCs/>
                <w:color w:val="000000"/>
                <w:lang w:eastAsia="en-GB"/>
              </w:rPr>
              <w:t>settlement;</w:t>
            </w:r>
            <w:proofErr w:type="gramEnd"/>
          </w:p>
          <w:p w14:paraId="1242A4BC" w14:textId="77777777" w:rsidR="00AD2642" w:rsidRPr="00E834BC" w:rsidRDefault="00AD2642" w:rsidP="00CA1C05">
            <w:pPr>
              <w:numPr>
                <w:ilvl w:val="0"/>
                <w:numId w:val="1"/>
              </w:numPr>
              <w:spacing w:before="100" w:beforeAutospacing="1" w:after="100" w:afterAutospacing="1"/>
              <w:rPr>
                <w:rFonts w:ascii="Arial" w:eastAsia="Times New Roman" w:hAnsi="Arial" w:cs="Arial"/>
                <w:b/>
                <w:bCs/>
                <w:color w:val="000000"/>
                <w:lang w:eastAsia="en-GB"/>
              </w:rPr>
            </w:pPr>
            <w:r w:rsidRPr="00E834BC">
              <w:rPr>
                <w:rFonts w:ascii="Arial" w:eastAsia="Times New Roman" w:hAnsi="Arial" w:cs="Arial"/>
                <w:b/>
                <w:bCs/>
                <w:color w:val="000000"/>
                <w:lang w:eastAsia="en-GB"/>
              </w:rPr>
              <w:t xml:space="preserve">The benefits of the initial affordability will be retained for all subsequent </w:t>
            </w:r>
            <w:proofErr w:type="gramStart"/>
            <w:r w:rsidRPr="00E834BC">
              <w:rPr>
                <w:rFonts w:ascii="Arial" w:eastAsia="Times New Roman" w:hAnsi="Arial" w:cs="Arial"/>
                <w:b/>
                <w:bCs/>
                <w:color w:val="000000"/>
                <w:lang w:eastAsia="en-GB"/>
              </w:rPr>
              <w:t>occupants;</w:t>
            </w:r>
            <w:proofErr w:type="gramEnd"/>
          </w:p>
          <w:p w14:paraId="21B68130" w14:textId="77777777" w:rsidR="00AD2642" w:rsidRPr="00E834BC" w:rsidRDefault="00AD2642" w:rsidP="00CA1C05">
            <w:pPr>
              <w:numPr>
                <w:ilvl w:val="0"/>
                <w:numId w:val="1"/>
              </w:numPr>
              <w:spacing w:before="100" w:beforeAutospacing="1" w:after="100" w:afterAutospacing="1"/>
              <w:rPr>
                <w:rFonts w:ascii="Arial" w:eastAsia="Times New Roman" w:hAnsi="Arial" w:cs="Arial"/>
                <w:b/>
                <w:bCs/>
                <w:color w:val="000000"/>
                <w:lang w:eastAsia="en-GB"/>
              </w:rPr>
            </w:pPr>
            <w:r w:rsidRPr="00E834BC">
              <w:rPr>
                <w:rFonts w:ascii="Arial" w:eastAsia="Times New Roman" w:hAnsi="Arial" w:cs="Arial"/>
                <w:b/>
                <w:bCs/>
                <w:color w:val="000000"/>
                <w:lang w:eastAsia="en-GB"/>
              </w:rPr>
              <w:t xml:space="preserve">It is of a size, scale and design compatible with an affordable dwelling and available to low or moderate income </w:t>
            </w:r>
            <w:proofErr w:type="gramStart"/>
            <w:r w:rsidRPr="00E834BC">
              <w:rPr>
                <w:rFonts w:ascii="Arial" w:eastAsia="Times New Roman" w:hAnsi="Arial" w:cs="Arial"/>
                <w:b/>
                <w:bCs/>
                <w:color w:val="000000"/>
                <w:lang w:eastAsia="en-GB"/>
              </w:rPr>
              <w:t>groups;</w:t>
            </w:r>
            <w:proofErr w:type="gramEnd"/>
          </w:p>
          <w:p w14:paraId="7186CD73" w14:textId="77777777" w:rsidR="00AD2642" w:rsidRPr="00E834BC" w:rsidRDefault="00AD2642" w:rsidP="00CA1C05">
            <w:pPr>
              <w:numPr>
                <w:ilvl w:val="0"/>
                <w:numId w:val="1"/>
              </w:numPr>
              <w:spacing w:before="100" w:beforeAutospacing="1" w:after="100" w:afterAutospacing="1"/>
              <w:rPr>
                <w:rFonts w:ascii="Arial" w:eastAsia="Times New Roman" w:hAnsi="Arial" w:cs="Arial"/>
                <w:b/>
                <w:bCs/>
                <w:color w:val="000000"/>
                <w:lang w:eastAsia="en-GB"/>
              </w:rPr>
            </w:pPr>
            <w:r w:rsidRPr="00E834BC">
              <w:rPr>
                <w:rFonts w:ascii="Arial" w:eastAsia="Times New Roman" w:hAnsi="Arial" w:cs="Arial"/>
                <w:b/>
                <w:bCs/>
                <w:color w:val="000000"/>
                <w:lang w:eastAsia="en-GB"/>
              </w:rPr>
              <w:lastRenderedPageBreak/>
              <w:t xml:space="preserve">There are no market housing schemes within the </w:t>
            </w:r>
            <w:proofErr w:type="gramStart"/>
            <w:r w:rsidRPr="00E834BC">
              <w:rPr>
                <w:rFonts w:ascii="Arial" w:eastAsia="Times New Roman" w:hAnsi="Arial" w:cs="Arial"/>
                <w:b/>
                <w:bCs/>
                <w:color w:val="000000"/>
                <w:lang w:eastAsia="en-GB"/>
              </w:rPr>
              <w:t>settlement, or</w:t>
            </w:r>
            <w:proofErr w:type="gramEnd"/>
            <w:r w:rsidRPr="00E834BC">
              <w:rPr>
                <w:rFonts w:ascii="Arial" w:eastAsia="Times New Roman" w:hAnsi="Arial" w:cs="Arial"/>
                <w:b/>
                <w:bCs/>
                <w:color w:val="000000"/>
                <w:lang w:eastAsia="en-GB"/>
              </w:rPr>
              <w:t xml:space="preserve"> projected to be </w:t>
            </w:r>
            <w:r>
              <w:rPr>
                <w:rFonts w:ascii="Arial" w:eastAsia="Times New Roman" w:hAnsi="Arial" w:cs="Arial"/>
                <w:b/>
                <w:bCs/>
                <w:color w:val="000000"/>
                <w:lang w:eastAsia="en-GB"/>
              </w:rPr>
              <w:t xml:space="preserve">available </w:t>
            </w:r>
            <w:r w:rsidRPr="00E834BC">
              <w:rPr>
                <w:rFonts w:ascii="Arial" w:eastAsia="Times New Roman" w:hAnsi="Arial" w:cs="Arial"/>
                <w:b/>
                <w:bCs/>
                <w:color w:val="000000"/>
                <w:lang w:eastAsia="en-GB"/>
              </w:rPr>
              <w:t>which include a requirement for affordable housing.</w:t>
            </w:r>
          </w:p>
          <w:p w14:paraId="2BA639CF" w14:textId="4D7F32E6" w:rsidR="00AD2642" w:rsidRPr="002B2E2B" w:rsidRDefault="00AD2642" w:rsidP="00CF49E9">
            <w:pPr>
              <w:rPr>
                <w:rFonts w:ascii="Arial" w:hAnsi="Arial" w:cs="Arial"/>
                <w:color w:val="00B050"/>
                <w:sz w:val="22"/>
                <w:szCs w:val="22"/>
              </w:rPr>
            </w:pPr>
            <w:r w:rsidRPr="002B2E2B">
              <w:rPr>
                <w:rFonts w:ascii="Arial" w:hAnsi="Arial" w:cs="Arial"/>
                <w:color w:val="00B050"/>
                <w:sz w:val="22"/>
                <w:szCs w:val="22"/>
              </w:rPr>
              <w:t>New paragraph number: All new affordable local need housing will be restricted to those who can demonstrate they have a need to live in the Town and Community Council area and are in Affordable Housing Need. Reference is drawn to the Glossary of Terms which considers the Local Need Eligibility</w:t>
            </w:r>
            <w:r>
              <w:rPr>
                <w:rFonts w:ascii="Arial" w:hAnsi="Arial" w:cs="Arial"/>
                <w:color w:val="00B050"/>
                <w:sz w:val="22"/>
                <w:szCs w:val="22"/>
              </w:rPr>
              <w:t>,</w:t>
            </w:r>
            <w:r w:rsidRPr="002B2E2B">
              <w:rPr>
                <w:rFonts w:ascii="Arial" w:hAnsi="Arial" w:cs="Arial"/>
                <w:color w:val="00B050"/>
                <w:sz w:val="22"/>
                <w:szCs w:val="22"/>
              </w:rPr>
              <w:t xml:space="preserve"> and the criteria which must be satisfied to permit local need housing. </w:t>
            </w:r>
          </w:p>
          <w:p w14:paraId="00516516" w14:textId="77777777" w:rsidR="00AD2642" w:rsidRDefault="00AD2642" w:rsidP="00CF49E9">
            <w:pPr>
              <w:rPr>
                <w:rFonts w:ascii="Arial" w:hAnsi="Arial" w:cs="Arial"/>
                <w:sz w:val="22"/>
                <w:szCs w:val="22"/>
              </w:rPr>
            </w:pPr>
          </w:p>
          <w:p w14:paraId="35F75EE8" w14:textId="23048AE6" w:rsidR="00AD2642" w:rsidRDefault="00AD2642" w:rsidP="00CF49E9">
            <w:pPr>
              <w:rPr>
                <w:rFonts w:ascii="Arial" w:hAnsi="Arial" w:cs="Arial"/>
                <w:sz w:val="22"/>
                <w:szCs w:val="22"/>
              </w:rPr>
            </w:pPr>
            <w:r w:rsidRPr="00280CB5">
              <w:rPr>
                <w:rFonts w:ascii="Arial" w:hAnsi="Arial" w:cs="Arial"/>
                <w:sz w:val="22"/>
                <w:szCs w:val="22"/>
              </w:rPr>
              <w:t xml:space="preserve">11.123 The granting of planning permission will be subject to conditions and planning obligations which ensure the affordable housing remains available to meet future local affordable housing needs. </w:t>
            </w:r>
          </w:p>
          <w:p w14:paraId="2EC4072F" w14:textId="77777777" w:rsidR="00AD2642" w:rsidRDefault="00AD2642" w:rsidP="00CF49E9">
            <w:pPr>
              <w:rPr>
                <w:rFonts w:ascii="Arial" w:hAnsi="Arial" w:cs="Arial"/>
                <w:sz w:val="22"/>
                <w:szCs w:val="22"/>
              </w:rPr>
            </w:pPr>
          </w:p>
          <w:p w14:paraId="67BBB499" w14:textId="14E8120B" w:rsidR="00AD2642" w:rsidRDefault="00AD2642" w:rsidP="00CF49E9">
            <w:pPr>
              <w:rPr>
                <w:rFonts w:ascii="Arial" w:hAnsi="Arial" w:cs="Arial"/>
                <w:sz w:val="22"/>
                <w:szCs w:val="22"/>
              </w:rPr>
            </w:pPr>
            <w:r w:rsidRPr="00280CB5">
              <w:rPr>
                <w:rFonts w:ascii="Arial" w:hAnsi="Arial" w:cs="Arial"/>
                <w:sz w:val="22"/>
                <w:szCs w:val="22"/>
              </w:rPr>
              <w:t xml:space="preserve">11.124 An affordable dwelling must be compatible with WG’s Design Quality Requirement standards to limit its size, scale and design to ensure that the dwelling falls within a reasonable and acceptable affordable dwelling cost for future occupants. </w:t>
            </w:r>
            <w:r w:rsidRPr="002542A9">
              <w:rPr>
                <w:rFonts w:ascii="Arial" w:hAnsi="Arial" w:cs="Arial"/>
                <w:strike/>
                <w:color w:val="FF0000"/>
                <w:sz w:val="22"/>
                <w:szCs w:val="22"/>
              </w:rPr>
              <w:t>In exceptional circumstances</w:t>
            </w:r>
            <w:r w:rsidRPr="00280CB5">
              <w:rPr>
                <w:rFonts w:ascii="Arial" w:hAnsi="Arial" w:cs="Arial"/>
                <w:sz w:val="22"/>
                <w:szCs w:val="22"/>
              </w:rPr>
              <w:t xml:space="preserve">, </w:t>
            </w:r>
            <w:r w:rsidRPr="002542A9">
              <w:rPr>
                <w:rFonts w:ascii="Arial" w:hAnsi="Arial" w:cs="Arial"/>
                <w:color w:val="00B050"/>
                <w:sz w:val="22"/>
                <w:szCs w:val="22"/>
              </w:rPr>
              <w:t>A</w:t>
            </w:r>
            <w:r w:rsidRPr="00280CB5">
              <w:rPr>
                <w:rFonts w:ascii="Arial" w:hAnsi="Arial" w:cs="Arial"/>
                <w:sz w:val="22"/>
                <w:szCs w:val="22"/>
              </w:rPr>
              <w:t xml:space="preserve"> departure from these standards may be considered appropriate where they are to meet the occupant’s needs and are clearly evidenced and justified.</w:t>
            </w:r>
          </w:p>
          <w:p w14:paraId="1954FB20" w14:textId="77777777" w:rsidR="00AD2642" w:rsidRDefault="00AD2642" w:rsidP="00CF49E9">
            <w:pPr>
              <w:rPr>
                <w:rFonts w:ascii="Arial" w:hAnsi="Arial" w:cs="Arial"/>
                <w:sz w:val="22"/>
                <w:szCs w:val="22"/>
              </w:rPr>
            </w:pPr>
          </w:p>
          <w:p w14:paraId="3B5E3F95" w14:textId="19DC0B09" w:rsidR="00AD2642" w:rsidRDefault="00AD2642" w:rsidP="00CF49E9"/>
        </w:tc>
        <w:tc>
          <w:tcPr>
            <w:tcW w:w="4853" w:type="dxa"/>
          </w:tcPr>
          <w:p w14:paraId="5B769566" w14:textId="53124504" w:rsidR="00AD2642" w:rsidRDefault="00AD2642" w:rsidP="00262032">
            <w:r>
              <w:lastRenderedPageBreak/>
              <w:t>Change</w:t>
            </w:r>
            <w:r w:rsidR="007C0DDB">
              <w:t>s</w:t>
            </w:r>
            <w:r>
              <w:t xml:space="preserve"> agreed.</w:t>
            </w:r>
          </w:p>
          <w:p w14:paraId="54478C9B" w14:textId="77777777" w:rsidR="00AD2642" w:rsidRDefault="00AD2642" w:rsidP="00A317AA"/>
        </w:tc>
      </w:tr>
      <w:tr w:rsidR="00AD2642" w14:paraId="4C5CE763" w14:textId="77777777" w:rsidTr="00AD2642">
        <w:tc>
          <w:tcPr>
            <w:tcW w:w="1696" w:type="dxa"/>
          </w:tcPr>
          <w:p w14:paraId="2389B412" w14:textId="6FF461C2" w:rsidR="00AD2642" w:rsidRDefault="00AD2642" w:rsidP="00CF49E9">
            <w:r w:rsidRPr="00CF49E9">
              <w:rPr>
                <w:rFonts w:ascii="Arial" w:hAnsi="Arial" w:cs="Arial"/>
                <w:b/>
                <w:bCs/>
              </w:rPr>
              <w:t xml:space="preserve">AP3/5 </w:t>
            </w:r>
          </w:p>
        </w:tc>
        <w:tc>
          <w:tcPr>
            <w:tcW w:w="7621" w:type="dxa"/>
          </w:tcPr>
          <w:p w14:paraId="00C23A8C" w14:textId="79ED180E" w:rsidR="00AD2642" w:rsidRPr="00CE2815" w:rsidRDefault="00AD2642" w:rsidP="002104DF">
            <w:pPr>
              <w:ind w:right="-45"/>
              <w:rPr>
                <w:rFonts w:ascii="Arial" w:hAnsi="Arial" w:cs="Arial"/>
                <w:b/>
                <w:color w:val="F1A983" w:themeColor="accent2" w:themeTint="99"/>
                <w:sz w:val="22"/>
                <w:szCs w:val="22"/>
              </w:rPr>
            </w:pPr>
            <w:r w:rsidRPr="00CE2815">
              <w:rPr>
                <w:rFonts w:ascii="Arial" w:hAnsi="Arial" w:cs="Arial"/>
                <w:b/>
                <w:color w:val="F1A983" w:themeColor="accent2" w:themeTint="99"/>
                <w:sz w:val="22"/>
                <w:szCs w:val="22"/>
              </w:rPr>
              <w:t>Strategic Policy – SP 10: Gypsy and Traveller Provision</w:t>
            </w:r>
          </w:p>
          <w:p w14:paraId="1FB96DF2" w14:textId="77777777" w:rsidR="00AD2642" w:rsidRPr="00CE2815" w:rsidRDefault="00AD2642" w:rsidP="002104DF">
            <w:pPr>
              <w:ind w:right="-45"/>
              <w:rPr>
                <w:rFonts w:ascii="Arial" w:hAnsi="Arial" w:cs="Arial"/>
                <w:b/>
                <w:color w:val="F1A983" w:themeColor="accent2" w:themeTint="99"/>
                <w:sz w:val="22"/>
                <w:szCs w:val="22"/>
              </w:rPr>
            </w:pPr>
          </w:p>
          <w:p w14:paraId="76312D85" w14:textId="3E37E112" w:rsidR="00AD2642" w:rsidRPr="00CE2815" w:rsidRDefault="00AD2642" w:rsidP="00702EE3">
            <w:pPr>
              <w:spacing w:after="120"/>
              <w:ind w:right="-45"/>
              <w:rPr>
                <w:rFonts w:ascii="Arial" w:hAnsi="Arial" w:cs="Arial"/>
                <w:b/>
                <w:sz w:val="22"/>
                <w:szCs w:val="22"/>
              </w:rPr>
            </w:pPr>
            <w:r w:rsidRPr="00CE2815">
              <w:rPr>
                <w:rFonts w:ascii="Arial" w:hAnsi="Arial" w:cs="Arial"/>
                <w:b/>
                <w:sz w:val="22"/>
                <w:szCs w:val="22"/>
              </w:rPr>
              <w:t xml:space="preserve">The following </w:t>
            </w:r>
            <w:r w:rsidRPr="000561DE">
              <w:rPr>
                <w:rFonts w:ascii="Arial" w:hAnsi="Arial" w:cs="Arial"/>
                <w:b/>
                <w:strike/>
                <w:sz w:val="22"/>
                <w:szCs w:val="22"/>
                <w:highlight w:val="yellow"/>
              </w:rPr>
              <w:t>Local Authority</w:t>
            </w:r>
            <w:r w:rsidRPr="00CE2815">
              <w:rPr>
                <w:rFonts w:ascii="Arial" w:hAnsi="Arial" w:cs="Arial"/>
                <w:b/>
                <w:sz w:val="22"/>
                <w:szCs w:val="22"/>
              </w:rPr>
              <w:t xml:space="preserve"> sites are allocated to meet the identified need for Gypsy and Traveller Accommodation and to allow for the potential future expansion of Gypsy and Traveller Households: </w:t>
            </w:r>
          </w:p>
          <w:p w14:paraId="57AC36CF" w14:textId="77777777" w:rsidR="00AD2642" w:rsidRPr="00CE2815" w:rsidRDefault="00AD2642" w:rsidP="00702EE3">
            <w:pPr>
              <w:spacing w:after="120"/>
              <w:ind w:right="-45"/>
              <w:rPr>
                <w:rFonts w:ascii="Arial" w:hAnsi="Arial" w:cs="Arial"/>
                <w:b/>
                <w:sz w:val="22"/>
                <w:szCs w:val="22"/>
              </w:rPr>
            </w:pPr>
          </w:p>
          <w:tbl>
            <w:tblPr>
              <w:tblStyle w:val="TableGrid"/>
              <w:tblW w:w="0" w:type="auto"/>
              <w:tblLook w:val="04A0" w:firstRow="1" w:lastRow="0" w:firstColumn="1" w:lastColumn="0" w:noHBand="0" w:noVBand="1"/>
            </w:tblPr>
            <w:tblGrid>
              <w:gridCol w:w="1417"/>
              <w:gridCol w:w="2457"/>
              <w:gridCol w:w="1981"/>
              <w:gridCol w:w="1540"/>
            </w:tblGrid>
            <w:tr w:rsidR="00AD2642" w:rsidRPr="00CE2815" w14:paraId="072A8C16" w14:textId="77777777" w:rsidTr="007840D7">
              <w:trPr>
                <w:trHeight w:val="393"/>
              </w:trPr>
              <w:tc>
                <w:tcPr>
                  <w:tcW w:w="1459" w:type="dxa"/>
                  <w:shd w:val="clear" w:color="auto" w:fill="F1A983" w:themeFill="accent2" w:themeFillTint="99"/>
                </w:tcPr>
                <w:p w14:paraId="0729ACB3" w14:textId="77777777" w:rsidR="00AD2642" w:rsidRPr="00CE2815" w:rsidRDefault="00AD2642" w:rsidP="007D3320">
                  <w:pPr>
                    <w:spacing w:after="120"/>
                    <w:ind w:right="-45"/>
                    <w:rPr>
                      <w:rFonts w:ascii="Arial" w:hAnsi="Arial" w:cs="Arial"/>
                      <w:b/>
                      <w:sz w:val="22"/>
                      <w:szCs w:val="22"/>
                    </w:rPr>
                  </w:pPr>
                  <w:r w:rsidRPr="00CE2815">
                    <w:rPr>
                      <w:rFonts w:ascii="Arial" w:hAnsi="Arial" w:cs="Arial"/>
                      <w:b/>
                      <w:sz w:val="22"/>
                      <w:szCs w:val="22"/>
                    </w:rPr>
                    <w:t>Site Ref:</w:t>
                  </w:r>
                </w:p>
              </w:tc>
              <w:tc>
                <w:tcPr>
                  <w:tcW w:w="2675" w:type="dxa"/>
                  <w:shd w:val="clear" w:color="auto" w:fill="F1A983" w:themeFill="accent2" w:themeFillTint="99"/>
                </w:tcPr>
                <w:p w14:paraId="64D306EC" w14:textId="77777777" w:rsidR="00AD2642" w:rsidRPr="00CE2815" w:rsidRDefault="00AD2642" w:rsidP="007D3320">
                  <w:pPr>
                    <w:spacing w:after="120"/>
                    <w:ind w:right="-45"/>
                    <w:rPr>
                      <w:rFonts w:ascii="Arial" w:hAnsi="Arial" w:cs="Arial"/>
                      <w:b/>
                      <w:sz w:val="22"/>
                      <w:szCs w:val="22"/>
                    </w:rPr>
                  </w:pPr>
                  <w:r w:rsidRPr="00CE2815">
                    <w:rPr>
                      <w:rFonts w:ascii="Arial" w:hAnsi="Arial" w:cs="Arial"/>
                      <w:b/>
                      <w:sz w:val="22"/>
                      <w:szCs w:val="22"/>
                    </w:rPr>
                    <w:t>Location</w:t>
                  </w:r>
                </w:p>
              </w:tc>
              <w:tc>
                <w:tcPr>
                  <w:tcW w:w="2117" w:type="dxa"/>
                  <w:shd w:val="clear" w:color="auto" w:fill="F1A983" w:themeFill="accent2" w:themeFillTint="99"/>
                </w:tcPr>
                <w:p w14:paraId="0EBD78E9" w14:textId="77777777" w:rsidR="00AD2642" w:rsidRPr="00CE2815" w:rsidRDefault="00AD2642" w:rsidP="007D3320">
                  <w:pPr>
                    <w:spacing w:after="120"/>
                    <w:ind w:right="-45"/>
                    <w:rPr>
                      <w:rFonts w:ascii="Arial" w:hAnsi="Arial" w:cs="Arial"/>
                      <w:b/>
                      <w:sz w:val="22"/>
                      <w:szCs w:val="22"/>
                    </w:rPr>
                  </w:pPr>
                  <w:r w:rsidRPr="00CE2815">
                    <w:rPr>
                      <w:rFonts w:ascii="Arial" w:hAnsi="Arial" w:cs="Arial"/>
                      <w:b/>
                      <w:sz w:val="22"/>
                      <w:szCs w:val="22"/>
                    </w:rPr>
                    <w:t>Type of Need</w:t>
                  </w:r>
                </w:p>
              </w:tc>
              <w:tc>
                <w:tcPr>
                  <w:tcW w:w="1602" w:type="dxa"/>
                  <w:shd w:val="clear" w:color="auto" w:fill="F1A983" w:themeFill="accent2" w:themeFillTint="99"/>
                </w:tcPr>
                <w:p w14:paraId="15D428B6" w14:textId="77777777" w:rsidR="00AD2642" w:rsidRPr="00CE2815" w:rsidRDefault="00AD2642" w:rsidP="007D3320">
                  <w:pPr>
                    <w:spacing w:after="120"/>
                    <w:ind w:right="-45"/>
                    <w:rPr>
                      <w:rFonts w:ascii="Arial" w:hAnsi="Arial" w:cs="Arial"/>
                      <w:b/>
                      <w:sz w:val="22"/>
                      <w:szCs w:val="22"/>
                    </w:rPr>
                  </w:pPr>
                  <w:r w:rsidRPr="00CE2815">
                    <w:rPr>
                      <w:rFonts w:ascii="Arial" w:hAnsi="Arial" w:cs="Arial"/>
                      <w:b/>
                      <w:color w:val="00B050"/>
                      <w:sz w:val="22"/>
                      <w:szCs w:val="22"/>
                    </w:rPr>
                    <w:t>Proposed pitches</w:t>
                  </w:r>
                </w:p>
              </w:tc>
            </w:tr>
            <w:tr w:rsidR="00AD2642" w:rsidRPr="00CE2815" w14:paraId="7C1E25B2" w14:textId="77777777" w:rsidTr="007840D7">
              <w:trPr>
                <w:trHeight w:val="504"/>
              </w:trPr>
              <w:tc>
                <w:tcPr>
                  <w:tcW w:w="1459" w:type="dxa"/>
                </w:tcPr>
                <w:p w14:paraId="064CE3CA" w14:textId="77777777" w:rsidR="00AD2642" w:rsidRPr="00CE2815" w:rsidRDefault="00AD2642" w:rsidP="007D3320">
                  <w:pPr>
                    <w:spacing w:after="120"/>
                    <w:ind w:right="-45"/>
                    <w:rPr>
                      <w:rFonts w:ascii="Arial" w:hAnsi="Arial" w:cs="Arial"/>
                      <w:sz w:val="22"/>
                      <w:szCs w:val="22"/>
                    </w:rPr>
                  </w:pPr>
                  <w:r w:rsidRPr="00CE2815" w:rsidDel="004C3474">
                    <w:rPr>
                      <w:rFonts w:ascii="Arial" w:hAnsi="Arial" w:cs="Arial"/>
                      <w:sz w:val="22"/>
                      <w:szCs w:val="22"/>
                    </w:rPr>
                    <w:t>PrC2/GT1</w:t>
                  </w:r>
                </w:p>
              </w:tc>
              <w:tc>
                <w:tcPr>
                  <w:tcW w:w="2675" w:type="dxa"/>
                </w:tcPr>
                <w:p w14:paraId="4ECB6DE9" w14:textId="77777777" w:rsidR="00AD2642" w:rsidRPr="00CE2815" w:rsidRDefault="00AD2642" w:rsidP="007D3320">
                  <w:pPr>
                    <w:spacing w:after="120"/>
                    <w:ind w:right="-45"/>
                    <w:rPr>
                      <w:rFonts w:ascii="Arial" w:hAnsi="Arial" w:cs="Arial"/>
                      <w:sz w:val="22"/>
                      <w:szCs w:val="22"/>
                    </w:rPr>
                  </w:pPr>
                  <w:r w:rsidRPr="00CE2815">
                    <w:rPr>
                      <w:rFonts w:ascii="Arial" w:hAnsi="Arial" w:cs="Arial"/>
                      <w:sz w:val="22"/>
                      <w:szCs w:val="22"/>
                    </w:rPr>
                    <w:t xml:space="preserve">Land at </w:t>
                  </w:r>
                  <w:proofErr w:type="spellStart"/>
                  <w:r w:rsidRPr="00CE2815">
                    <w:rPr>
                      <w:rFonts w:ascii="Arial" w:hAnsi="Arial" w:cs="Arial"/>
                      <w:sz w:val="22"/>
                      <w:szCs w:val="22"/>
                    </w:rPr>
                    <w:t>Penyfan</w:t>
                  </w:r>
                  <w:proofErr w:type="spellEnd"/>
                  <w:r w:rsidRPr="00CE2815">
                    <w:rPr>
                      <w:rFonts w:ascii="Arial" w:hAnsi="Arial" w:cs="Arial"/>
                      <w:sz w:val="22"/>
                      <w:szCs w:val="22"/>
                    </w:rPr>
                    <w:t xml:space="preserve">, </w:t>
                  </w:r>
                  <w:proofErr w:type="spellStart"/>
                  <w:r w:rsidRPr="00CE2815">
                    <w:rPr>
                      <w:rFonts w:ascii="Arial" w:hAnsi="Arial" w:cs="Arial"/>
                      <w:sz w:val="22"/>
                      <w:szCs w:val="22"/>
                    </w:rPr>
                    <w:t>Trostre</w:t>
                  </w:r>
                  <w:proofErr w:type="spellEnd"/>
                  <w:r w:rsidRPr="00CE2815">
                    <w:rPr>
                      <w:rFonts w:ascii="Arial" w:hAnsi="Arial" w:cs="Arial"/>
                      <w:sz w:val="22"/>
                      <w:szCs w:val="22"/>
                    </w:rPr>
                    <w:t>, Llanelli</w:t>
                  </w:r>
                </w:p>
              </w:tc>
              <w:tc>
                <w:tcPr>
                  <w:tcW w:w="2117" w:type="dxa"/>
                </w:tcPr>
                <w:p w14:paraId="6D445FF4" w14:textId="77777777" w:rsidR="00AD2642" w:rsidRPr="00CE2815" w:rsidRDefault="00AD2642" w:rsidP="007D3320">
                  <w:pPr>
                    <w:spacing w:after="120"/>
                    <w:ind w:right="-45"/>
                    <w:rPr>
                      <w:rFonts w:ascii="Arial" w:hAnsi="Arial" w:cs="Arial"/>
                      <w:sz w:val="22"/>
                      <w:szCs w:val="22"/>
                    </w:rPr>
                  </w:pPr>
                  <w:r w:rsidRPr="00CE2815" w:rsidDel="004C3474">
                    <w:rPr>
                      <w:rFonts w:ascii="Arial" w:hAnsi="Arial" w:cs="Arial"/>
                      <w:sz w:val="22"/>
                      <w:szCs w:val="22"/>
                    </w:rPr>
                    <w:t>Residential</w:t>
                  </w:r>
                </w:p>
              </w:tc>
              <w:tc>
                <w:tcPr>
                  <w:tcW w:w="1602" w:type="dxa"/>
                </w:tcPr>
                <w:p w14:paraId="73220B73" w14:textId="77777777" w:rsidR="00AD2642" w:rsidRPr="00CE2815" w:rsidDel="004C3474" w:rsidRDefault="00AD2642" w:rsidP="007D3320">
                  <w:pPr>
                    <w:spacing w:after="120"/>
                    <w:ind w:right="-45"/>
                    <w:rPr>
                      <w:rFonts w:ascii="Arial" w:hAnsi="Arial" w:cs="Arial"/>
                      <w:color w:val="00B050"/>
                      <w:sz w:val="22"/>
                      <w:szCs w:val="22"/>
                    </w:rPr>
                  </w:pPr>
                  <w:r w:rsidRPr="00CE2815">
                    <w:rPr>
                      <w:rFonts w:ascii="Arial" w:hAnsi="Arial" w:cs="Arial"/>
                      <w:color w:val="00B050"/>
                      <w:sz w:val="22"/>
                      <w:szCs w:val="22"/>
                    </w:rPr>
                    <w:t>7 pitches</w:t>
                  </w:r>
                </w:p>
              </w:tc>
            </w:tr>
            <w:tr w:rsidR="00AD2642" w:rsidRPr="00CE2815" w14:paraId="02BDD186" w14:textId="77777777" w:rsidTr="007840D7">
              <w:trPr>
                <w:trHeight w:val="554"/>
              </w:trPr>
              <w:tc>
                <w:tcPr>
                  <w:tcW w:w="1459" w:type="dxa"/>
                </w:tcPr>
                <w:p w14:paraId="2B9925A9" w14:textId="65D40D63" w:rsidR="00AD2642" w:rsidRPr="00CE2815" w:rsidRDefault="00AD2642" w:rsidP="007D3320">
                  <w:pPr>
                    <w:spacing w:after="120"/>
                    <w:ind w:right="-45"/>
                    <w:rPr>
                      <w:rFonts w:ascii="Arial" w:hAnsi="Arial" w:cs="Arial"/>
                      <w:sz w:val="22"/>
                      <w:szCs w:val="22"/>
                    </w:rPr>
                  </w:pPr>
                  <w:r w:rsidRPr="00CE2815" w:rsidDel="004C3474">
                    <w:rPr>
                      <w:rFonts w:ascii="Arial" w:hAnsi="Arial" w:cs="Arial"/>
                      <w:sz w:val="22"/>
                      <w:szCs w:val="22"/>
                    </w:rPr>
                    <w:lastRenderedPageBreak/>
                    <w:t>PrC</w:t>
                  </w:r>
                  <w:r w:rsidRPr="00CE2815">
                    <w:rPr>
                      <w:rFonts w:ascii="Arial" w:hAnsi="Arial" w:cs="Arial"/>
                      <w:sz w:val="22"/>
                      <w:szCs w:val="22"/>
                    </w:rPr>
                    <w:t>2</w:t>
                  </w:r>
                  <w:r w:rsidRPr="00CE2815" w:rsidDel="004C3474">
                    <w:rPr>
                      <w:rFonts w:ascii="Arial" w:hAnsi="Arial" w:cs="Arial"/>
                      <w:sz w:val="22"/>
                      <w:szCs w:val="22"/>
                    </w:rPr>
                    <w:t>/GT2</w:t>
                  </w:r>
                </w:p>
              </w:tc>
              <w:tc>
                <w:tcPr>
                  <w:tcW w:w="2675" w:type="dxa"/>
                </w:tcPr>
                <w:p w14:paraId="2D4691F2" w14:textId="77777777" w:rsidR="00AD2642" w:rsidRPr="00CE2815" w:rsidRDefault="00AD2642" w:rsidP="007D3320">
                  <w:pPr>
                    <w:spacing w:after="120"/>
                    <w:ind w:right="-45"/>
                    <w:rPr>
                      <w:rFonts w:ascii="Arial" w:hAnsi="Arial" w:cs="Arial"/>
                      <w:sz w:val="22"/>
                      <w:szCs w:val="22"/>
                    </w:rPr>
                  </w:pPr>
                  <w:proofErr w:type="spellStart"/>
                  <w:r w:rsidRPr="00CE2815" w:rsidDel="004C3474">
                    <w:rPr>
                      <w:rFonts w:ascii="Arial" w:hAnsi="Arial" w:cs="Arial"/>
                      <w:sz w:val="22"/>
                      <w:szCs w:val="22"/>
                    </w:rPr>
                    <w:t>Penybryn</w:t>
                  </w:r>
                  <w:proofErr w:type="spellEnd"/>
                  <w:r w:rsidRPr="00CE2815" w:rsidDel="004C3474">
                    <w:rPr>
                      <w:rFonts w:ascii="Arial" w:hAnsi="Arial" w:cs="Arial"/>
                      <w:sz w:val="22"/>
                      <w:szCs w:val="22"/>
                    </w:rPr>
                    <w:t xml:space="preserve"> (extension), </w:t>
                  </w:r>
                  <w:proofErr w:type="spellStart"/>
                  <w:r w:rsidRPr="00CE2815" w:rsidDel="004C3474">
                    <w:rPr>
                      <w:rFonts w:ascii="Arial" w:hAnsi="Arial" w:cs="Arial"/>
                      <w:sz w:val="22"/>
                      <w:szCs w:val="22"/>
                    </w:rPr>
                    <w:t>Bynea</w:t>
                  </w:r>
                  <w:proofErr w:type="spellEnd"/>
                  <w:r w:rsidRPr="00CE2815" w:rsidDel="004C3474">
                    <w:rPr>
                      <w:rFonts w:ascii="Arial" w:hAnsi="Arial" w:cs="Arial"/>
                      <w:sz w:val="22"/>
                      <w:szCs w:val="22"/>
                    </w:rPr>
                    <w:t>, Llanelli</w:t>
                  </w:r>
                </w:p>
              </w:tc>
              <w:tc>
                <w:tcPr>
                  <w:tcW w:w="2117" w:type="dxa"/>
                </w:tcPr>
                <w:p w14:paraId="0759CAAF" w14:textId="77777777" w:rsidR="00AD2642" w:rsidRPr="00CE2815" w:rsidRDefault="00AD2642" w:rsidP="007D3320">
                  <w:pPr>
                    <w:spacing w:after="120"/>
                    <w:ind w:right="-45"/>
                    <w:rPr>
                      <w:rFonts w:ascii="Arial" w:hAnsi="Arial" w:cs="Arial"/>
                      <w:sz w:val="22"/>
                      <w:szCs w:val="22"/>
                    </w:rPr>
                  </w:pPr>
                  <w:r w:rsidRPr="00CE2815" w:rsidDel="004C3474">
                    <w:rPr>
                      <w:rFonts w:ascii="Arial" w:hAnsi="Arial" w:cs="Arial"/>
                      <w:sz w:val="22"/>
                      <w:szCs w:val="22"/>
                    </w:rPr>
                    <w:t>Residential</w:t>
                  </w:r>
                </w:p>
              </w:tc>
              <w:tc>
                <w:tcPr>
                  <w:tcW w:w="1602" w:type="dxa"/>
                </w:tcPr>
                <w:p w14:paraId="1AC13FEB" w14:textId="77777777" w:rsidR="00AD2642" w:rsidRPr="00CE2815" w:rsidDel="004C3474" w:rsidRDefault="00AD2642" w:rsidP="007D3320">
                  <w:pPr>
                    <w:spacing w:after="120"/>
                    <w:ind w:right="-45"/>
                    <w:rPr>
                      <w:rFonts w:ascii="Arial" w:hAnsi="Arial" w:cs="Arial"/>
                      <w:color w:val="00B050"/>
                      <w:sz w:val="22"/>
                      <w:szCs w:val="22"/>
                    </w:rPr>
                  </w:pPr>
                  <w:r w:rsidRPr="00CE2815">
                    <w:rPr>
                      <w:rFonts w:ascii="Arial" w:hAnsi="Arial" w:cs="Arial"/>
                      <w:color w:val="00B050"/>
                      <w:sz w:val="22"/>
                      <w:szCs w:val="22"/>
                    </w:rPr>
                    <w:t>6 pitches</w:t>
                  </w:r>
                </w:p>
              </w:tc>
            </w:tr>
          </w:tbl>
          <w:p w14:paraId="5A4B5D62" w14:textId="77777777" w:rsidR="00AD2642" w:rsidRPr="00CE2815" w:rsidRDefault="00AD2642" w:rsidP="00CF49E9">
            <w:pPr>
              <w:rPr>
                <w:rFonts w:ascii="Arial" w:hAnsi="Arial" w:cs="Arial"/>
                <w:sz w:val="22"/>
                <w:szCs w:val="22"/>
              </w:rPr>
            </w:pPr>
          </w:p>
          <w:p w14:paraId="5D3213DD" w14:textId="77777777" w:rsidR="00AD2642" w:rsidRPr="00CE2815" w:rsidRDefault="00AD2642" w:rsidP="00CF49E9">
            <w:pPr>
              <w:rPr>
                <w:rFonts w:ascii="Arial" w:hAnsi="Arial" w:cs="Arial"/>
                <w:sz w:val="22"/>
                <w:szCs w:val="22"/>
              </w:rPr>
            </w:pPr>
            <w:r w:rsidRPr="00CE2815">
              <w:rPr>
                <w:rFonts w:ascii="Arial" w:hAnsi="Arial" w:cs="Arial"/>
                <w:sz w:val="22"/>
                <w:szCs w:val="22"/>
              </w:rPr>
              <w:t>11.211 To consider the future Gypsy and Traveller provision within Carmarthenshire, the County Council has undertaken two Gypsy Traveller Accommodation Needs Assessment (GTAA) which identify the current unmet need for Gypsy and Traveller pitches within the County. The initial report was undertaken in 2015 to cover the period up to 2031, whilst the 2019 update ensures that the Plan is informed in terms of Gypsy and Traveller need for the Plan period through to 2033.</w:t>
            </w:r>
          </w:p>
          <w:p w14:paraId="21D7FEAD" w14:textId="77777777" w:rsidR="00AD2642" w:rsidRPr="00CE2815" w:rsidRDefault="00AD2642" w:rsidP="00CF49E9">
            <w:pPr>
              <w:rPr>
                <w:rFonts w:ascii="Arial" w:hAnsi="Arial" w:cs="Arial"/>
                <w:sz w:val="22"/>
                <w:szCs w:val="22"/>
              </w:rPr>
            </w:pPr>
          </w:p>
          <w:p w14:paraId="332D2A16" w14:textId="6530F29B" w:rsidR="00AD2642" w:rsidRPr="00CE2815" w:rsidRDefault="00AD2642" w:rsidP="00CF49E9">
            <w:pPr>
              <w:rPr>
                <w:rFonts w:ascii="Arial" w:hAnsi="Arial" w:cs="Arial"/>
                <w:sz w:val="22"/>
                <w:szCs w:val="22"/>
              </w:rPr>
            </w:pPr>
            <w:r w:rsidRPr="00CE2815">
              <w:rPr>
                <w:rFonts w:ascii="Arial" w:hAnsi="Arial" w:cs="Arial"/>
                <w:sz w:val="22"/>
                <w:szCs w:val="22"/>
              </w:rPr>
              <w:t xml:space="preserve">11.212 The Assessments consider the methodology set out by Welsh Government Guidance and outlines two types of the assessment of need; the first considers the first 5 years of the GTAA period; and the second considers the full </w:t>
            </w:r>
            <w:proofErr w:type="gramStart"/>
            <w:r w:rsidRPr="00CE2815">
              <w:rPr>
                <w:rFonts w:ascii="Arial" w:hAnsi="Arial" w:cs="Arial"/>
                <w:sz w:val="22"/>
                <w:szCs w:val="22"/>
              </w:rPr>
              <w:t>15 year</w:t>
            </w:r>
            <w:proofErr w:type="gramEnd"/>
            <w:r w:rsidRPr="00CE2815">
              <w:rPr>
                <w:rFonts w:ascii="Arial" w:hAnsi="Arial" w:cs="Arial"/>
                <w:sz w:val="22"/>
                <w:szCs w:val="22"/>
              </w:rPr>
              <w:t xml:space="preserve"> GTAA period.</w:t>
            </w:r>
          </w:p>
          <w:p w14:paraId="323105DA" w14:textId="77777777" w:rsidR="00AD2642" w:rsidRPr="00CE2815" w:rsidRDefault="00AD2642" w:rsidP="00CF49E9">
            <w:pPr>
              <w:rPr>
                <w:rFonts w:ascii="Arial" w:hAnsi="Arial" w:cs="Arial"/>
                <w:sz w:val="22"/>
                <w:szCs w:val="22"/>
              </w:rPr>
            </w:pPr>
          </w:p>
          <w:p w14:paraId="268EB327" w14:textId="005F7BF8" w:rsidR="00AD2642" w:rsidRPr="00CE2815" w:rsidRDefault="00AD2642" w:rsidP="00CF49E9">
            <w:pPr>
              <w:rPr>
                <w:rFonts w:ascii="Arial" w:hAnsi="Arial" w:cs="Arial"/>
                <w:sz w:val="22"/>
                <w:szCs w:val="22"/>
              </w:rPr>
            </w:pPr>
            <w:r w:rsidRPr="00CE2815">
              <w:rPr>
                <w:rFonts w:ascii="Arial" w:hAnsi="Arial" w:cs="Arial"/>
                <w:sz w:val="22"/>
                <w:szCs w:val="22"/>
              </w:rPr>
              <w:t xml:space="preserve">11.213 Based on the 2019 Gypsy and Traveller assessment, the current unmet need is for 19 pitches, whilst Carmarthenshire’s estimated provision for the first 5 years is for 23 additional pitches. A large proportion of this need has arisen from households living in bricks and mortar, and new household growth from within these households. The make-up of this need is located within Llanelli, where </w:t>
            </w:r>
            <w:r w:rsidRPr="0043783E">
              <w:rPr>
                <w:rFonts w:ascii="Arial" w:hAnsi="Arial" w:cs="Arial"/>
                <w:strike/>
                <w:color w:val="FF0000"/>
                <w:sz w:val="22"/>
                <w:szCs w:val="22"/>
              </w:rPr>
              <w:t xml:space="preserve">a large number </w:t>
            </w:r>
            <w:r>
              <w:rPr>
                <w:rFonts w:ascii="Arial" w:hAnsi="Arial" w:cs="Arial"/>
                <w:strike/>
                <w:color w:val="FF0000"/>
                <w:sz w:val="22"/>
                <w:szCs w:val="22"/>
              </w:rPr>
              <w:t xml:space="preserve">  </w:t>
            </w:r>
            <w:r w:rsidRPr="0043783E">
              <w:rPr>
                <w:rFonts w:ascii="Arial" w:hAnsi="Arial" w:cs="Arial"/>
                <w:color w:val="00B050"/>
                <w:sz w:val="22"/>
                <w:szCs w:val="22"/>
              </w:rPr>
              <w:t>many</w:t>
            </w:r>
            <w:r w:rsidRPr="0043783E">
              <w:rPr>
                <w:rFonts w:ascii="Arial" w:hAnsi="Arial" w:cs="Arial"/>
                <w:color w:val="FF0000"/>
                <w:sz w:val="22"/>
                <w:szCs w:val="22"/>
              </w:rPr>
              <w:t xml:space="preserve"> </w:t>
            </w:r>
            <w:r w:rsidRPr="0043783E">
              <w:rPr>
                <w:rFonts w:ascii="Arial" w:hAnsi="Arial" w:cs="Arial"/>
                <w:sz w:val="22"/>
                <w:szCs w:val="22"/>
              </w:rPr>
              <w:t>of</w:t>
            </w:r>
            <w:r w:rsidRPr="0043783E">
              <w:rPr>
                <w:rFonts w:ascii="Arial" w:hAnsi="Arial" w:cs="Arial"/>
                <w:color w:val="FF0000"/>
                <w:sz w:val="22"/>
                <w:szCs w:val="22"/>
              </w:rPr>
              <w:t xml:space="preserve"> </w:t>
            </w:r>
            <w:r w:rsidRPr="00CE2815">
              <w:rPr>
                <w:rFonts w:ascii="Arial" w:hAnsi="Arial" w:cs="Arial"/>
                <w:sz w:val="22"/>
                <w:szCs w:val="22"/>
              </w:rPr>
              <w:t xml:space="preserve">these households had previously lived on the public site at </w:t>
            </w:r>
            <w:proofErr w:type="spellStart"/>
            <w:r w:rsidRPr="00CE2815">
              <w:rPr>
                <w:rFonts w:ascii="Arial" w:hAnsi="Arial" w:cs="Arial"/>
                <w:sz w:val="22"/>
                <w:szCs w:val="22"/>
              </w:rPr>
              <w:t>Penybryn</w:t>
            </w:r>
            <w:proofErr w:type="spellEnd"/>
            <w:r w:rsidRPr="00CE2815">
              <w:rPr>
                <w:rFonts w:ascii="Arial" w:hAnsi="Arial" w:cs="Arial"/>
                <w:sz w:val="22"/>
                <w:szCs w:val="22"/>
              </w:rPr>
              <w:t>.</w:t>
            </w:r>
          </w:p>
          <w:p w14:paraId="60B53E97" w14:textId="77777777" w:rsidR="00AD2642" w:rsidRPr="00CE2815" w:rsidRDefault="00AD2642" w:rsidP="00CF49E9">
            <w:pPr>
              <w:rPr>
                <w:rFonts w:ascii="Arial" w:hAnsi="Arial" w:cs="Arial"/>
                <w:sz w:val="22"/>
                <w:szCs w:val="22"/>
              </w:rPr>
            </w:pPr>
          </w:p>
          <w:p w14:paraId="6AD9184F" w14:textId="6A239C61" w:rsidR="00AD2642" w:rsidRPr="00CE2815" w:rsidRDefault="00AD2642" w:rsidP="00CF49E9">
            <w:pPr>
              <w:rPr>
                <w:rFonts w:ascii="Arial" w:hAnsi="Arial" w:cs="Arial"/>
                <w:sz w:val="22"/>
                <w:szCs w:val="22"/>
              </w:rPr>
            </w:pPr>
            <w:r w:rsidRPr="00CE2815">
              <w:rPr>
                <w:rFonts w:ascii="Arial" w:hAnsi="Arial" w:cs="Arial"/>
                <w:sz w:val="22"/>
                <w:szCs w:val="22"/>
              </w:rPr>
              <w:t>11.214 An estimate has also been made for newly arising Gypsy and Traveller households in years 6-15 of the GTAA. This would include, for example, young adults living on existing sites who, in time, will form their own household</w:t>
            </w:r>
            <w:r w:rsidRPr="0043783E">
              <w:rPr>
                <w:rFonts w:ascii="Arial" w:hAnsi="Arial" w:cs="Arial"/>
                <w:color w:val="00B050"/>
                <w:sz w:val="22"/>
                <w:szCs w:val="22"/>
              </w:rPr>
              <w:t>s</w:t>
            </w:r>
            <w:r w:rsidRPr="00CE2815">
              <w:rPr>
                <w:rFonts w:ascii="Arial" w:hAnsi="Arial" w:cs="Arial"/>
                <w:sz w:val="22"/>
                <w:szCs w:val="22"/>
              </w:rPr>
              <w:t xml:space="preserve"> and therefore would require their own pitch. The GTAA estimates a need for 8 further pitches in years 6-15, totalling a requirement of 31 pitches through to 2033.</w:t>
            </w:r>
          </w:p>
          <w:p w14:paraId="3292EECB" w14:textId="77777777" w:rsidR="00AD2642" w:rsidRPr="00CE2815" w:rsidRDefault="00AD2642" w:rsidP="00CF49E9">
            <w:pPr>
              <w:rPr>
                <w:rFonts w:ascii="Arial" w:hAnsi="Arial" w:cs="Arial"/>
                <w:sz w:val="22"/>
                <w:szCs w:val="22"/>
              </w:rPr>
            </w:pPr>
          </w:p>
          <w:p w14:paraId="72F17973" w14:textId="7B569E1A" w:rsidR="00AD2642" w:rsidRPr="00B274D6" w:rsidRDefault="00AD2642" w:rsidP="00CF49E9">
            <w:pPr>
              <w:rPr>
                <w:rFonts w:ascii="Arial" w:hAnsi="Arial" w:cs="Arial"/>
                <w:color w:val="00B050"/>
                <w:sz w:val="22"/>
                <w:szCs w:val="22"/>
              </w:rPr>
            </w:pPr>
            <w:r w:rsidRPr="00CE2815">
              <w:rPr>
                <w:rFonts w:ascii="Arial" w:hAnsi="Arial" w:cs="Arial"/>
                <w:color w:val="00B050"/>
                <w:sz w:val="22"/>
                <w:szCs w:val="22"/>
              </w:rPr>
              <w:t xml:space="preserve">New paragraph number: </w:t>
            </w:r>
            <w:r>
              <w:rPr>
                <w:rFonts w:ascii="Arial" w:hAnsi="Arial" w:cs="Arial"/>
                <w:color w:val="00B050"/>
                <w:sz w:val="22"/>
                <w:szCs w:val="22"/>
              </w:rPr>
              <w:t xml:space="preserve"> The </w:t>
            </w:r>
            <w:r w:rsidRPr="00B274D6">
              <w:rPr>
                <w:rFonts w:ascii="Arial" w:hAnsi="Arial" w:cs="Arial"/>
                <w:color w:val="00B050"/>
                <w:sz w:val="22"/>
                <w:szCs w:val="22"/>
              </w:rPr>
              <w:t xml:space="preserve">County has seen a significant change within the accommodation needs for Gypsy and Travellers with a total of 27 pitches being granted planning permission. In addition to the proposed 13 pitches allocated on the Council sites identified in Policy SP10 it is </w:t>
            </w:r>
            <w:r w:rsidRPr="00B274D6">
              <w:rPr>
                <w:rFonts w:ascii="Arial" w:hAnsi="Arial" w:cs="Arial"/>
                <w:color w:val="00B050"/>
                <w:sz w:val="22"/>
                <w:szCs w:val="22"/>
              </w:rPr>
              <w:lastRenderedPageBreak/>
              <w:t xml:space="preserve">considered that the requirement set out within the 2019 GTANA can be met up to the end of the plan period in 2033. </w:t>
            </w:r>
          </w:p>
          <w:p w14:paraId="5EC10D15" w14:textId="77777777" w:rsidR="00AD2642" w:rsidRPr="00CE2815" w:rsidRDefault="00AD2642" w:rsidP="00CF49E9">
            <w:pPr>
              <w:rPr>
                <w:rFonts w:ascii="Arial" w:hAnsi="Arial" w:cs="Arial"/>
                <w:sz w:val="22"/>
                <w:szCs w:val="22"/>
              </w:rPr>
            </w:pPr>
          </w:p>
          <w:p w14:paraId="5F450472" w14:textId="77C514EF" w:rsidR="00AD2642" w:rsidRPr="00CE2815" w:rsidRDefault="00AD2642" w:rsidP="00CF49E9">
            <w:pPr>
              <w:rPr>
                <w:rFonts w:ascii="Arial" w:hAnsi="Arial" w:cs="Arial"/>
                <w:sz w:val="22"/>
                <w:szCs w:val="22"/>
              </w:rPr>
            </w:pPr>
            <w:r w:rsidRPr="00CE2815">
              <w:rPr>
                <w:rFonts w:ascii="Arial" w:hAnsi="Arial" w:cs="Arial"/>
                <w:sz w:val="22"/>
                <w:szCs w:val="22"/>
              </w:rPr>
              <w:t xml:space="preserve">11.215 The GTAA also looked at the accommodation needs for Travelling </w:t>
            </w:r>
            <w:proofErr w:type="spellStart"/>
            <w:r w:rsidRPr="00CE2815">
              <w:rPr>
                <w:rFonts w:ascii="Arial" w:hAnsi="Arial" w:cs="Arial"/>
                <w:sz w:val="22"/>
                <w:szCs w:val="22"/>
              </w:rPr>
              <w:t>Showpeople</w:t>
            </w:r>
            <w:proofErr w:type="spellEnd"/>
            <w:r w:rsidRPr="00CE2815">
              <w:rPr>
                <w:rFonts w:ascii="Arial" w:hAnsi="Arial" w:cs="Arial"/>
                <w:sz w:val="22"/>
                <w:szCs w:val="22"/>
              </w:rPr>
              <w:t xml:space="preserve"> within Carmarthenshire. This element of the assessment identified 9 authorised or tolerated pitches for Travelling Show people within the county. In considering the future projection, the 2019 assessment identifies a requirement of 4 additional pitches in the first five years of the assessment.</w:t>
            </w:r>
          </w:p>
          <w:p w14:paraId="23F641E4" w14:textId="77777777" w:rsidR="00AD2642" w:rsidRPr="00CE2815" w:rsidRDefault="00AD2642" w:rsidP="00CF49E9">
            <w:pPr>
              <w:rPr>
                <w:rFonts w:ascii="Arial" w:hAnsi="Arial" w:cs="Arial"/>
                <w:sz w:val="22"/>
                <w:szCs w:val="22"/>
              </w:rPr>
            </w:pPr>
          </w:p>
          <w:p w14:paraId="55B3A027" w14:textId="75C865CC" w:rsidR="00AD2642" w:rsidRPr="00CE2815" w:rsidRDefault="00AD2642" w:rsidP="00CF49E9">
            <w:pPr>
              <w:rPr>
                <w:rFonts w:ascii="Arial" w:hAnsi="Arial" w:cs="Arial"/>
                <w:sz w:val="22"/>
                <w:szCs w:val="22"/>
              </w:rPr>
            </w:pPr>
            <w:r w:rsidRPr="00CE2815">
              <w:rPr>
                <w:rFonts w:ascii="Arial" w:hAnsi="Arial" w:cs="Arial"/>
                <w:sz w:val="22"/>
                <w:szCs w:val="22"/>
              </w:rPr>
              <w:t>11.216 The requirement and take-up of pitches will also be closely monitored as part of the monitoring framework of this plan and reported through the Annual Monitoring Report arrangements.</w:t>
            </w:r>
          </w:p>
          <w:p w14:paraId="409DF76B" w14:textId="77777777" w:rsidR="00AD2642" w:rsidRPr="00CE2815" w:rsidRDefault="00AD2642" w:rsidP="00CF49E9">
            <w:pPr>
              <w:rPr>
                <w:rFonts w:ascii="Arial" w:hAnsi="Arial" w:cs="Arial"/>
                <w:sz w:val="22"/>
                <w:szCs w:val="22"/>
              </w:rPr>
            </w:pPr>
          </w:p>
          <w:p w14:paraId="74CDCD3C" w14:textId="77777777" w:rsidR="00AD2642" w:rsidRPr="00CE2815" w:rsidRDefault="00AD2642" w:rsidP="00CF49E9">
            <w:pPr>
              <w:rPr>
                <w:rFonts w:ascii="Arial" w:hAnsi="Arial" w:cs="Arial"/>
                <w:sz w:val="22"/>
                <w:szCs w:val="22"/>
              </w:rPr>
            </w:pPr>
          </w:p>
        </w:tc>
        <w:tc>
          <w:tcPr>
            <w:tcW w:w="4853" w:type="dxa"/>
          </w:tcPr>
          <w:p w14:paraId="52F2EFDD" w14:textId="77777777" w:rsidR="00AD2642" w:rsidRDefault="00AD2642" w:rsidP="00B274D6"/>
        </w:tc>
      </w:tr>
      <w:tr w:rsidR="00AD2642" w14:paraId="1F4020CD" w14:textId="77777777" w:rsidTr="00AD2642">
        <w:tc>
          <w:tcPr>
            <w:tcW w:w="1696" w:type="dxa"/>
          </w:tcPr>
          <w:p w14:paraId="2325A645" w14:textId="0D5747D1" w:rsidR="00AD2642" w:rsidRDefault="00AD2642" w:rsidP="00CF49E9">
            <w:r w:rsidRPr="00CA2AC1">
              <w:rPr>
                <w:rFonts w:ascii="Arial" w:hAnsi="Arial" w:cs="Arial"/>
                <w:b/>
                <w:bCs/>
              </w:rPr>
              <w:lastRenderedPageBreak/>
              <w:t>AP</w:t>
            </w:r>
            <w:r>
              <w:rPr>
                <w:rFonts w:ascii="Arial" w:hAnsi="Arial" w:cs="Arial"/>
                <w:b/>
                <w:bCs/>
              </w:rPr>
              <w:t>3</w:t>
            </w:r>
            <w:r w:rsidRPr="00CA2AC1">
              <w:rPr>
                <w:rFonts w:ascii="Arial" w:hAnsi="Arial" w:cs="Arial"/>
                <w:b/>
                <w:bCs/>
              </w:rPr>
              <w:t>/</w:t>
            </w:r>
            <w:r>
              <w:rPr>
                <w:rFonts w:ascii="Arial" w:hAnsi="Arial" w:cs="Arial"/>
                <w:b/>
                <w:bCs/>
              </w:rPr>
              <w:t>5</w:t>
            </w:r>
            <w:r w:rsidRPr="00CA2AC1">
              <w:rPr>
                <w:rFonts w:ascii="Arial" w:hAnsi="Arial" w:cs="Arial"/>
                <w:b/>
                <w:bCs/>
              </w:rPr>
              <w:t xml:space="preserve"> </w:t>
            </w:r>
          </w:p>
        </w:tc>
        <w:tc>
          <w:tcPr>
            <w:tcW w:w="7621" w:type="dxa"/>
          </w:tcPr>
          <w:p w14:paraId="5DE79EA8" w14:textId="77777777" w:rsidR="00AD2642" w:rsidRPr="001D71CB" w:rsidRDefault="00AD2642" w:rsidP="00EE2385">
            <w:pPr>
              <w:rPr>
                <w:rFonts w:ascii="Arial" w:hAnsi="Arial" w:cs="Arial"/>
                <w:b/>
                <w:color w:val="F1A983" w:themeColor="accent2" w:themeTint="99"/>
              </w:rPr>
            </w:pPr>
            <w:r w:rsidRPr="001D71CB">
              <w:rPr>
                <w:rFonts w:ascii="Arial" w:eastAsia="Times New Roman" w:hAnsi="Arial" w:cs="Arial"/>
                <w:b/>
                <w:color w:val="F1A983" w:themeColor="accent2" w:themeTint="99"/>
                <w:lang w:eastAsia="en-GB"/>
              </w:rPr>
              <w:t xml:space="preserve">GTP1: </w:t>
            </w:r>
            <w:r w:rsidRPr="001D71CB">
              <w:rPr>
                <w:rFonts w:ascii="Arial" w:hAnsi="Arial" w:cs="Arial"/>
                <w:b/>
                <w:color w:val="F1A983" w:themeColor="accent2" w:themeTint="99"/>
              </w:rPr>
              <w:t>Gypsy and Traveller Accommodation</w:t>
            </w:r>
          </w:p>
          <w:p w14:paraId="24C7B9D9" w14:textId="77777777" w:rsidR="00AD2642" w:rsidRDefault="00AD2642" w:rsidP="00EE2385">
            <w:pPr>
              <w:rPr>
                <w:rFonts w:ascii="Arial" w:eastAsia="Times New Roman" w:hAnsi="Arial" w:cs="Arial"/>
                <w:b/>
                <w:bCs/>
                <w:color w:val="000000"/>
                <w:lang w:eastAsia="en-GB"/>
              </w:rPr>
            </w:pPr>
          </w:p>
          <w:p w14:paraId="043D6D64" w14:textId="77777777" w:rsidR="00AD2642" w:rsidRPr="00805FFA" w:rsidRDefault="00AD2642" w:rsidP="00FD6628">
            <w:pPr>
              <w:pStyle w:val="ListParagraph"/>
              <w:ind w:left="0" w:right="147"/>
              <w:rPr>
                <w:rFonts w:ascii="Arial" w:eastAsia="Times New Roman" w:hAnsi="Arial" w:cs="Arial"/>
                <w:color w:val="000000"/>
                <w:lang w:eastAsia="en-GB"/>
              </w:rPr>
            </w:pPr>
            <w:r w:rsidRPr="00CE2C3C">
              <w:rPr>
                <w:rFonts w:ascii="Arial" w:eastAsia="Times New Roman" w:hAnsi="Arial" w:cs="Arial"/>
                <w:b/>
                <w:bCs/>
                <w:strike/>
                <w:color w:val="FF0000"/>
                <w:lang w:eastAsia="en-GB"/>
              </w:rPr>
              <w:t>1.</w:t>
            </w:r>
            <w:r w:rsidRPr="00CE2C3C">
              <w:rPr>
                <w:rFonts w:ascii="Arial" w:eastAsia="Times New Roman" w:hAnsi="Arial" w:cs="Arial"/>
                <w:b/>
                <w:bCs/>
                <w:color w:val="FF0000"/>
                <w:lang w:eastAsia="en-GB"/>
              </w:rPr>
              <w:t xml:space="preserve"> </w:t>
            </w:r>
            <w:r w:rsidRPr="00CE2C3C">
              <w:rPr>
                <w:rFonts w:ascii="Arial" w:eastAsia="Times New Roman" w:hAnsi="Arial" w:cs="Arial"/>
                <w:b/>
                <w:bCs/>
                <w:color w:val="000000"/>
                <w:lang w:eastAsia="en-GB"/>
              </w:rPr>
              <w:t>Proposals for new Gypsy and Traveller sites, or extensions to existing authorised sites within the development limits of a defined settlement will be permitted where:</w:t>
            </w:r>
          </w:p>
          <w:p w14:paraId="439A38D8" w14:textId="77777777" w:rsidR="00AD2642" w:rsidRPr="00805FFA" w:rsidRDefault="00AD2642" w:rsidP="00FD6628">
            <w:pPr>
              <w:numPr>
                <w:ilvl w:val="0"/>
                <w:numId w:val="2"/>
              </w:numPr>
              <w:spacing w:before="100" w:beforeAutospacing="1" w:after="100" w:afterAutospacing="1"/>
              <w:rPr>
                <w:rFonts w:ascii="Arial" w:eastAsia="Times New Roman" w:hAnsi="Arial" w:cs="Arial"/>
                <w:b/>
                <w:bCs/>
                <w:color w:val="000000"/>
                <w:lang w:eastAsia="en-GB"/>
              </w:rPr>
            </w:pPr>
            <w:r w:rsidRPr="00805FFA">
              <w:rPr>
                <w:rFonts w:ascii="Arial" w:eastAsia="Times New Roman" w:hAnsi="Arial" w:cs="Arial"/>
                <w:b/>
                <w:bCs/>
                <w:color w:val="000000"/>
                <w:lang w:eastAsia="en-GB"/>
              </w:rPr>
              <w:t xml:space="preserve">The necessary range of facilities and services, including existing community, social, and educational provisions, and </w:t>
            </w:r>
            <w:r>
              <w:rPr>
                <w:rFonts w:ascii="Arial" w:eastAsia="Times New Roman" w:hAnsi="Arial" w:cs="Arial"/>
                <w:b/>
                <w:bCs/>
                <w:color w:val="000000"/>
                <w:lang w:eastAsia="en-GB"/>
              </w:rPr>
              <w:t xml:space="preserve">public </w:t>
            </w:r>
            <w:r w:rsidRPr="00805FFA">
              <w:rPr>
                <w:rFonts w:ascii="Arial" w:eastAsia="Times New Roman" w:hAnsi="Arial" w:cs="Arial"/>
                <w:b/>
                <w:bCs/>
                <w:color w:val="000000"/>
                <w:lang w:eastAsia="en-GB"/>
              </w:rPr>
              <w:t xml:space="preserve">transport is accessible or can be readily </w:t>
            </w:r>
            <w:proofErr w:type="gramStart"/>
            <w:r w:rsidRPr="00805FFA">
              <w:rPr>
                <w:rFonts w:ascii="Arial" w:eastAsia="Times New Roman" w:hAnsi="Arial" w:cs="Arial"/>
                <w:b/>
                <w:bCs/>
                <w:color w:val="000000"/>
                <w:lang w:eastAsia="en-GB"/>
              </w:rPr>
              <w:t>provided;</w:t>
            </w:r>
            <w:proofErr w:type="gramEnd"/>
          </w:p>
          <w:p w14:paraId="0E83940F" w14:textId="77777777" w:rsidR="00AD2642" w:rsidRPr="00805FFA" w:rsidRDefault="00AD2642" w:rsidP="00FD6628">
            <w:pPr>
              <w:numPr>
                <w:ilvl w:val="0"/>
                <w:numId w:val="2"/>
              </w:numPr>
              <w:spacing w:before="100" w:beforeAutospacing="1" w:after="100" w:afterAutospacing="1"/>
              <w:rPr>
                <w:rFonts w:ascii="Arial" w:eastAsia="Times New Roman" w:hAnsi="Arial" w:cs="Arial"/>
                <w:b/>
                <w:bCs/>
                <w:color w:val="000000"/>
                <w:lang w:eastAsia="en-GB"/>
              </w:rPr>
            </w:pPr>
            <w:r w:rsidRPr="00805FFA">
              <w:rPr>
                <w:rFonts w:ascii="Arial" w:eastAsia="Times New Roman" w:hAnsi="Arial" w:cs="Arial"/>
                <w:b/>
                <w:bCs/>
                <w:color w:val="000000"/>
                <w:lang w:eastAsia="en-GB"/>
              </w:rPr>
              <w:t xml:space="preserve">The proposal will have no significant adverse impacts on the amenity of residents and adjoining land </w:t>
            </w:r>
            <w:proofErr w:type="gramStart"/>
            <w:r w:rsidRPr="00805FFA">
              <w:rPr>
                <w:rFonts w:ascii="Arial" w:eastAsia="Times New Roman" w:hAnsi="Arial" w:cs="Arial"/>
                <w:b/>
                <w:bCs/>
                <w:color w:val="000000"/>
                <w:lang w:eastAsia="en-GB"/>
              </w:rPr>
              <w:t>uses;</w:t>
            </w:r>
            <w:proofErr w:type="gramEnd"/>
          </w:p>
          <w:p w14:paraId="68D3B1E7" w14:textId="77777777" w:rsidR="00AD2642" w:rsidRPr="00805FFA" w:rsidRDefault="00AD2642" w:rsidP="00FD6628">
            <w:pPr>
              <w:numPr>
                <w:ilvl w:val="0"/>
                <w:numId w:val="2"/>
              </w:numPr>
              <w:spacing w:before="100" w:beforeAutospacing="1" w:after="100" w:afterAutospacing="1"/>
              <w:rPr>
                <w:rFonts w:ascii="Arial" w:eastAsia="Times New Roman" w:hAnsi="Arial" w:cs="Arial"/>
                <w:b/>
                <w:bCs/>
                <w:color w:val="000000"/>
                <w:lang w:eastAsia="en-GB"/>
              </w:rPr>
            </w:pPr>
            <w:r w:rsidRPr="00805FFA">
              <w:rPr>
                <w:rFonts w:ascii="Arial" w:eastAsia="Times New Roman" w:hAnsi="Arial" w:cs="Arial"/>
                <w:b/>
                <w:bCs/>
                <w:color w:val="000000"/>
                <w:lang w:eastAsia="en-GB"/>
              </w:rPr>
              <w:t xml:space="preserve">The site is capable of being serviced with water, electricity, sewage and waste </w:t>
            </w:r>
            <w:proofErr w:type="gramStart"/>
            <w:r w:rsidRPr="00805FFA">
              <w:rPr>
                <w:rFonts w:ascii="Arial" w:eastAsia="Times New Roman" w:hAnsi="Arial" w:cs="Arial"/>
                <w:b/>
                <w:bCs/>
                <w:color w:val="000000"/>
                <w:lang w:eastAsia="en-GB"/>
              </w:rPr>
              <w:t>disposal;</w:t>
            </w:r>
            <w:proofErr w:type="gramEnd"/>
          </w:p>
          <w:p w14:paraId="1C5CDC70" w14:textId="77777777" w:rsidR="00AD2642" w:rsidRPr="00CE2C3C" w:rsidRDefault="00AD2642" w:rsidP="00FD6628">
            <w:pPr>
              <w:numPr>
                <w:ilvl w:val="0"/>
                <w:numId w:val="2"/>
              </w:numPr>
              <w:spacing w:before="100" w:beforeAutospacing="1" w:after="100" w:afterAutospacing="1"/>
              <w:rPr>
                <w:rFonts w:ascii="Arial" w:eastAsia="Times New Roman" w:hAnsi="Arial" w:cs="Arial"/>
                <w:b/>
                <w:bCs/>
                <w:color w:val="000000"/>
                <w:lang w:eastAsia="en-GB"/>
              </w:rPr>
            </w:pPr>
            <w:r w:rsidRPr="00805FFA">
              <w:rPr>
                <w:rFonts w:ascii="Arial" w:eastAsia="Times New Roman" w:hAnsi="Arial" w:cs="Arial"/>
                <w:b/>
                <w:bCs/>
                <w:color w:val="000000"/>
                <w:lang w:eastAsia="en-GB"/>
              </w:rPr>
              <w:t xml:space="preserve">There is no adverse effect on its surroundings, landscape/townscape or the setting and integrity of the historic </w:t>
            </w:r>
            <w:r w:rsidRPr="00CE2C3C">
              <w:rPr>
                <w:rFonts w:ascii="Arial" w:eastAsia="Times New Roman" w:hAnsi="Arial" w:cs="Arial"/>
                <w:b/>
                <w:bCs/>
                <w:color w:val="000000"/>
                <w:lang w:eastAsia="en-GB"/>
              </w:rPr>
              <w:t>environment.</w:t>
            </w:r>
          </w:p>
          <w:p w14:paraId="31816F48" w14:textId="0894D2AB" w:rsidR="00AD2642" w:rsidRPr="00EE2385" w:rsidRDefault="00AD2642" w:rsidP="00FD6628">
            <w:pPr>
              <w:pStyle w:val="ListParagraph"/>
              <w:ind w:left="0" w:right="147"/>
              <w:rPr>
                <w:rFonts w:ascii="Arial" w:eastAsia="Times New Roman" w:hAnsi="Arial" w:cs="Arial"/>
                <w:b/>
                <w:strike/>
                <w:color w:val="FF0000"/>
                <w:lang w:eastAsia="en-GB"/>
              </w:rPr>
            </w:pPr>
            <w:r w:rsidRPr="00CE2C3C">
              <w:rPr>
                <w:rFonts w:ascii="Arial" w:eastAsia="Times New Roman" w:hAnsi="Arial" w:cs="Arial"/>
                <w:b/>
                <w:strike/>
                <w:color w:val="FF0000"/>
                <w:lang w:eastAsia="en-GB"/>
              </w:rPr>
              <w:lastRenderedPageBreak/>
              <w:t>2.</w:t>
            </w:r>
            <w:r w:rsidRPr="00CE2C3C">
              <w:rPr>
                <w:rFonts w:ascii="Arial" w:eastAsia="Times New Roman" w:hAnsi="Arial" w:cs="Arial"/>
                <w:b/>
                <w:color w:val="FF0000"/>
                <w:lang w:eastAsia="en-GB"/>
              </w:rPr>
              <w:t xml:space="preserve"> </w:t>
            </w:r>
            <w:r w:rsidRPr="00CE2C3C">
              <w:rPr>
                <w:rFonts w:ascii="Arial" w:eastAsia="Times New Roman" w:hAnsi="Arial" w:cs="Arial"/>
                <w:b/>
                <w:lang w:eastAsia="en-GB"/>
              </w:rPr>
              <w:t xml:space="preserve">New, or extensions to existing authorised sites outside the development limits of defined settlements will be permitted in accordance with the above </w:t>
            </w:r>
            <w:r w:rsidRPr="00CE2C3C">
              <w:rPr>
                <w:rFonts w:ascii="Arial" w:eastAsia="Times New Roman" w:hAnsi="Arial" w:cs="Arial"/>
                <w:b/>
                <w:color w:val="00B050"/>
                <w:lang w:eastAsia="en-GB"/>
              </w:rPr>
              <w:t>criteria</w:t>
            </w:r>
            <w:r w:rsidRPr="00CE2C3C">
              <w:rPr>
                <w:rFonts w:ascii="Arial" w:eastAsia="Times New Roman" w:hAnsi="Arial" w:cs="Arial"/>
                <w:b/>
                <w:lang w:eastAsia="en-GB"/>
              </w:rPr>
              <w:t>, where it can be demonstrated that there are no suitable pitches available on existing authorised sites</w:t>
            </w:r>
            <w:r w:rsidRPr="00CE2C3C">
              <w:rPr>
                <w:rFonts w:ascii="Arial" w:eastAsia="Times New Roman" w:hAnsi="Arial" w:cs="Arial"/>
                <w:b/>
                <w:color w:val="FF0000"/>
                <w:lang w:eastAsia="en-GB"/>
              </w:rPr>
              <w:t>.</w:t>
            </w:r>
            <w:r w:rsidRPr="00CE2C3C">
              <w:rPr>
                <w:rFonts w:ascii="Arial" w:eastAsia="Times New Roman" w:hAnsi="Arial" w:cs="Arial"/>
                <w:b/>
                <w:strike/>
                <w:color w:val="FF0000"/>
                <w:lang w:eastAsia="en-GB"/>
              </w:rPr>
              <w:t>, within the development limits of a defined settlement. or that there is no opportunity to appropriately extend those sites.</w:t>
            </w:r>
          </w:p>
          <w:p w14:paraId="4D96F8A5" w14:textId="32A807E7" w:rsidR="00AD2642" w:rsidRPr="005F4BEB" w:rsidRDefault="00AD2642" w:rsidP="00FD6628">
            <w:pPr>
              <w:pStyle w:val="ListParagraph"/>
              <w:ind w:left="0" w:right="147"/>
              <w:rPr>
                <w:rFonts w:ascii="Arial" w:eastAsia="Times New Roman" w:hAnsi="Arial" w:cs="Arial"/>
                <w:b/>
                <w:color w:val="000000" w:themeColor="text1"/>
                <w:lang w:eastAsia="en-GB"/>
              </w:rPr>
            </w:pPr>
          </w:p>
          <w:p w14:paraId="33CDA377" w14:textId="77777777" w:rsidR="00AD2642" w:rsidRPr="005F4BEB" w:rsidRDefault="00AD2642" w:rsidP="00FD6628">
            <w:pPr>
              <w:pStyle w:val="ListParagraph"/>
              <w:ind w:left="0" w:right="147"/>
              <w:rPr>
                <w:rFonts w:ascii="Arial" w:eastAsia="Times New Roman" w:hAnsi="Arial" w:cs="Arial"/>
                <w:b/>
                <w:color w:val="000000" w:themeColor="text1"/>
                <w:lang w:eastAsia="en-GB"/>
              </w:rPr>
            </w:pPr>
            <w:r w:rsidRPr="00EF433C">
              <w:rPr>
                <w:rFonts w:ascii="Arial" w:eastAsia="Times New Roman" w:hAnsi="Arial" w:cs="Arial"/>
                <w:b/>
                <w:color w:val="000000" w:themeColor="text1"/>
                <w:lang w:eastAsia="en-GB"/>
              </w:rPr>
              <w:t>Proposals for a transit or touring site will be considered where they have good connections to the Strategic Road Network.</w:t>
            </w:r>
            <w:r w:rsidRPr="005F4BEB">
              <w:rPr>
                <w:rFonts w:ascii="Arial" w:eastAsia="Times New Roman" w:hAnsi="Arial" w:cs="Arial"/>
                <w:b/>
                <w:color w:val="000000" w:themeColor="text1"/>
                <w:lang w:eastAsia="en-GB"/>
              </w:rPr>
              <w:t xml:space="preserve"> </w:t>
            </w:r>
          </w:p>
          <w:p w14:paraId="76686EB8" w14:textId="77777777" w:rsidR="00AD2642" w:rsidRDefault="00AD2642" w:rsidP="00CF49E9"/>
        </w:tc>
        <w:tc>
          <w:tcPr>
            <w:tcW w:w="4853" w:type="dxa"/>
          </w:tcPr>
          <w:p w14:paraId="10ECDA1F" w14:textId="7EEE7C7F" w:rsidR="00AD2642" w:rsidRDefault="00AD2642" w:rsidP="00217C5E">
            <w:r>
              <w:lastRenderedPageBreak/>
              <w:t>Change</w:t>
            </w:r>
            <w:r w:rsidR="007C0DDB">
              <w:t>s</w:t>
            </w:r>
            <w:r>
              <w:t xml:space="preserve"> agreed.</w:t>
            </w:r>
          </w:p>
        </w:tc>
      </w:tr>
      <w:tr w:rsidR="00AD2642" w14:paraId="5EEEB5FF" w14:textId="77777777" w:rsidTr="00AD2642">
        <w:tc>
          <w:tcPr>
            <w:tcW w:w="1696" w:type="dxa"/>
          </w:tcPr>
          <w:p w14:paraId="416560D7" w14:textId="686AC59C" w:rsidR="00AD2642" w:rsidRPr="0082428A" w:rsidRDefault="00AD2642" w:rsidP="00CF49E9">
            <w:r w:rsidRPr="0082428A">
              <w:rPr>
                <w:rFonts w:ascii="Arial" w:hAnsi="Arial" w:cs="Arial"/>
                <w:b/>
                <w:bCs/>
              </w:rPr>
              <w:t xml:space="preserve">AP3/6 </w:t>
            </w:r>
          </w:p>
        </w:tc>
        <w:tc>
          <w:tcPr>
            <w:tcW w:w="7621" w:type="dxa"/>
          </w:tcPr>
          <w:p w14:paraId="6940FB75" w14:textId="61CE7BF2" w:rsidR="00AD2642" w:rsidRPr="0082428A" w:rsidRDefault="00AD2642" w:rsidP="00CF49E9">
            <w:pPr>
              <w:rPr>
                <w:rFonts w:ascii="Arial" w:hAnsi="Arial" w:cs="Arial"/>
              </w:rPr>
            </w:pPr>
            <w:r w:rsidRPr="0082428A">
              <w:rPr>
                <w:rFonts w:ascii="Arial" w:hAnsi="Arial" w:cs="Arial"/>
              </w:rPr>
              <w:t>Please see appendix 1 below which refers to the briefing note.</w:t>
            </w:r>
          </w:p>
        </w:tc>
        <w:tc>
          <w:tcPr>
            <w:tcW w:w="4853" w:type="dxa"/>
          </w:tcPr>
          <w:p w14:paraId="27CCAE6B" w14:textId="72B14EB9" w:rsidR="00AD2642" w:rsidRDefault="00AD2642" w:rsidP="00CF49E9">
            <w:r>
              <w:t>Agreed.</w:t>
            </w:r>
          </w:p>
        </w:tc>
      </w:tr>
    </w:tbl>
    <w:p w14:paraId="0B98AB77" w14:textId="77777777" w:rsidR="00AA3DA4" w:rsidRDefault="00AA3DA4" w:rsidP="009724FF">
      <w:pPr>
        <w:sectPr w:rsidR="00AA3DA4" w:rsidSect="009724FF">
          <w:pgSz w:w="16838" w:h="11906" w:orient="landscape"/>
          <w:pgMar w:top="1440" w:right="1440" w:bottom="1440" w:left="1440" w:header="708" w:footer="708" w:gutter="0"/>
          <w:cols w:space="708"/>
          <w:docGrid w:linePitch="360"/>
        </w:sectPr>
      </w:pPr>
    </w:p>
    <w:p w14:paraId="7AF6B26B" w14:textId="77777777" w:rsidR="00AA3DA4" w:rsidRPr="00AA3DA4" w:rsidRDefault="00AA3DA4" w:rsidP="00AA3DA4">
      <w:pPr>
        <w:rPr>
          <w:rFonts w:ascii="Arial" w:hAnsi="Arial" w:cs="Arial"/>
          <w:b/>
          <w:bCs/>
        </w:rPr>
      </w:pPr>
      <w:r w:rsidRPr="00AA3DA4">
        <w:rPr>
          <w:rFonts w:ascii="Arial" w:hAnsi="Arial" w:cs="Arial"/>
          <w:b/>
          <w:bCs/>
        </w:rPr>
        <w:lastRenderedPageBreak/>
        <w:t xml:space="preserve">Appendix 1 - Action Point AP3/6 – Briefing note in relation to the development of </w:t>
      </w:r>
      <w:r w:rsidRPr="00AA3DA4">
        <w:rPr>
          <w:rFonts w:ascii="Arial" w:eastAsia="Times New Roman" w:hAnsi="Arial" w:cs="Arial"/>
          <w:b/>
          <w:bCs/>
          <w:kern w:val="0"/>
          <w:lang w:eastAsia="en-GB"/>
          <w14:ligatures w14:val="none"/>
        </w:rPr>
        <w:t xml:space="preserve">PrC2/GT1 - </w:t>
      </w:r>
      <w:r w:rsidRPr="00AA3DA4">
        <w:rPr>
          <w:rFonts w:ascii="Arial" w:hAnsi="Arial" w:cs="Arial"/>
          <w:b/>
          <w:bCs/>
        </w:rPr>
        <w:t xml:space="preserve">Land at </w:t>
      </w:r>
      <w:proofErr w:type="spellStart"/>
      <w:r w:rsidRPr="00AA3DA4">
        <w:rPr>
          <w:rFonts w:ascii="Arial" w:hAnsi="Arial" w:cs="Arial"/>
          <w:b/>
          <w:bCs/>
        </w:rPr>
        <w:t>Penyfan</w:t>
      </w:r>
      <w:proofErr w:type="spellEnd"/>
      <w:r w:rsidRPr="00AA3DA4">
        <w:rPr>
          <w:rFonts w:ascii="Arial" w:hAnsi="Arial" w:cs="Arial"/>
          <w:b/>
          <w:bCs/>
        </w:rPr>
        <w:t xml:space="preserve">, </w:t>
      </w:r>
      <w:proofErr w:type="spellStart"/>
      <w:r w:rsidRPr="00AA3DA4">
        <w:rPr>
          <w:rFonts w:ascii="Arial" w:hAnsi="Arial" w:cs="Arial"/>
          <w:b/>
          <w:bCs/>
        </w:rPr>
        <w:t>Trostre</w:t>
      </w:r>
      <w:proofErr w:type="spellEnd"/>
      <w:r w:rsidRPr="00AA3DA4">
        <w:rPr>
          <w:rFonts w:ascii="Arial" w:hAnsi="Arial" w:cs="Arial"/>
          <w:b/>
          <w:bCs/>
        </w:rPr>
        <w:t>, Llanelli</w:t>
      </w:r>
    </w:p>
    <w:p w14:paraId="6527A9EE" w14:textId="77777777" w:rsidR="00AA3DA4" w:rsidRPr="003B0DBF" w:rsidRDefault="00AA3DA4" w:rsidP="00AA3DA4">
      <w:pPr>
        <w:spacing w:after="0" w:line="360" w:lineRule="auto"/>
        <w:rPr>
          <w:rFonts w:ascii="Arial" w:hAnsi="Arial" w:cs="Arial"/>
          <w:highlight w:val="yellow"/>
        </w:rPr>
      </w:pPr>
    </w:p>
    <w:p w14:paraId="3DAF016D" w14:textId="77777777" w:rsidR="00AA3DA4" w:rsidRPr="00AA3DA4" w:rsidRDefault="00AA3DA4" w:rsidP="00AA3DA4">
      <w:pPr>
        <w:spacing w:after="0" w:line="360" w:lineRule="auto"/>
        <w:rPr>
          <w:rFonts w:ascii="Arial" w:hAnsi="Arial" w:cs="Arial"/>
        </w:rPr>
      </w:pPr>
      <w:r w:rsidRPr="00AA3DA4">
        <w:rPr>
          <w:rFonts w:ascii="Arial" w:hAnsi="Arial" w:cs="Arial"/>
        </w:rPr>
        <w:t xml:space="preserve">This Briefing Note considers the updated position relating to the Land at </w:t>
      </w:r>
      <w:proofErr w:type="spellStart"/>
      <w:r w:rsidRPr="00AA3DA4">
        <w:rPr>
          <w:rFonts w:ascii="Arial" w:hAnsi="Arial" w:cs="Arial"/>
        </w:rPr>
        <w:t>Penyfan</w:t>
      </w:r>
      <w:proofErr w:type="spellEnd"/>
      <w:r w:rsidRPr="00AA3DA4">
        <w:rPr>
          <w:rFonts w:ascii="Arial" w:hAnsi="Arial" w:cs="Arial"/>
        </w:rPr>
        <w:t xml:space="preserve">, </w:t>
      </w:r>
      <w:proofErr w:type="spellStart"/>
      <w:r w:rsidRPr="00AA3DA4">
        <w:rPr>
          <w:rFonts w:ascii="Arial" w:hAnsi="Arial" w:cs="Arial"/>
        </w:rPr>
        <w:t>Trostre</w:t>
      </w:r>
      <w:proofErr w:type="spellEnd"/>
      <w:r w:rsidRPr="00AA3DA4">
        <w:rPr>
          <w:rFonts w:ascii="Arial" w:hAnsi="Arial" w:cs="Arial"/>
        </w:rPr>
        <w:t xml:space="preserve"> which is one of two Council owned sites allocated for Gypsy and Traveller pitch provision within the Revised Local Development Plan.</w:t>
      </w:r>
    </w:p>
    <w:p w14:paraId="7DD69700" w14:textId="77777777" w:rsidR="00AA3DA4" w:rsidRPr="00AA3DA4" w:rsidRDefault="00AA3DA4" w:rsidP="00AA3DA4">
      <w:pPr>
        <w:spacing w:after="0" w:line="360" w:lineRule="auto"/>
        <w:rPr>
          <w:rFonts w:ascii="Arial" w:hAnsi="Arial" w:cs="Arial"/>
        </w:rPr>
      </w:pPr>
    </w:p>
    <w:p w14:paraId="2C6BC420" w14:textId="77777777" w:rsidR="00AA3DA4" w:rsidRPr="00AA3DA4" w:rsidRDefault="00AA3DA4" w:rsidP="00AA3DA4">
      <w:pPr>
        <w:spacing w:after="0" w:line="360" w:lineRule="auto"/>
        <w:rPr>
          <w:rFonts w:ascii="Arial" w:hAnsi="Arial" w:cs="Arial"/>
        </w:rPr>
      </w:pPr>
      <w:r w:rsidRPr="00AA3DA4">
        <w:rPr>
          <w:rFonts w:ascii="Arial" w:hAnsi="Arial" w:cs="Arial"/>
        </w:rPr>
        <w:t xml:space="preserve">Further to Action Point AP3/6 from Hearing Session 3 of the examination of the Carmarthenshire </w:t>
      </w:r>
      <w:proofErr w:type="spellStart"/>
      <w:r w:rsidRPr="00AA3DA4">
        <w:rPr>
          <w:rFonts w:ascii="Arial" w:hAnsi="Arial" w:cs="Arial"/>
        </w:rPr>
        <w:t>rLDP</w:t>
      </w:r>
      <w:proofErr w:type="spellEnd"/>
      <w:r w:rsidRPr="00AA3DA4">
        <w:rPr>
          <w:rFonts w:ascii="Arial" w:hAnsi="Arial" w:cs="Arial"/>
        </w:rPr>
        <w:t>, the following information has been requested.</w:t>
      </w:r>
    </w:p>
    <w:p w14:paraId="3D4FD378" w14:textId="77777777" w:rsidR="00AA3DA4" w:rsidRPr="00AA3DA4" w:rsidRDefault="00AA3DA4" w:rsidP="00AA3DA4">
      <w:pPr>
        <w:spacing w:after="0" w:line="360" w:lineRule="auto"/>
        <w:rPr>
          <w:rFonts w:ascii="Arial" w:hAnsi="Arial" w:cs="Arial"/>
        </w:rPr>
      </w:pPr>
    </w:p>
    <w:p w14:paraId="3A708640" w14:textId="77777777" w:rsidR="00AA3DA4" w:rsidRPr="00AA3DA4" w:rsidRDefault="00AA3DA4" w:rsidP="00AA3DA4">
      <w:pPr>
        <w:rPr>
          <w:rFonts w:ascii="Arial" w:hAnsi="Arial" w:cs="Arial"/>
          <w:b/>
          <w:bCs/>
        </w:rPr>
      </w:pPr>
      <w:r w:rsidRPr="00AA3DA4">
        <w:rPr>
          <w:rFonts w:ascii="Arial" w:hAnsi="Arial" w:cs="Arial"/>
          <w:b/>
          <w:bCs/>
        </w:rPr>
        <w:t>Land Ownership</w:t>
      </w:r>
    </w:p>
    <w:p w14:paraId="09DB0F0F" w14:textId="77777777" w:rsidR="00AA3DA4" w:rsidRPr="00AA3DA4" w:rsidRDefault="00AA3DA4" w:rsidP="00AA3DA4">
      <w:pPr>
        <w:spacing w:after="0" w:line="360" w:lineRule="auto"/>
        <w:rPr>
          <w:rFonts w:ascii="Arial" w:hAnsi="Arial" w:cs="Arial"/>
        </w:rPr>
      </w:pPr>
      <w:r w:rsidRPr="00AA3DA4">
        <w:rPr>
          <w:rFonts w:ascii="Arial" w:hAnsi="Arial" w:cs="Arial"/>
        </w:rPr>
        <w:t xml:space="preserve">Reference is drawn to Submission Document CSD118 which considers the sites for Gypsy and Traveller Provision and the review of Local Authority sites. The land at </w:t>
      </w:r>
      <w:proofErr w:type="spellStart"/>
      <w:r w:rsidRPr="00AA3DA4">
        <w:rPr>
          <w:rFonts w:ascii="Arial" w:hAnsi="Arial" w:cs="Arial"/>
        </w:rPr>
        <w:t>Penyfan</w:t>
      </w:r>
      <w:proofErr w:type="spellEnd"/>
      <w:r w:rsidRPr="00AA3DA4">
        <w:rPr>
          <w:rFonts w:ascii="Arial" w:hAnsi="Arial" w:cs="Arial"/>
        </w:rPr>
        <w:t xml:space="preserve">, </w:t>
      </w:r>
      <w:proofErr w:type="spellStart"/>
      <w:r w:rsidRPr="00AA3DA4">
        <w:rPr>
          <w:rFonts w:ascii="Arial" w:hAnsi="Arial" w:cs="Arial"/>
        </w:rPr>
        <w:t>Trostre</w:t>
      </w:r>
      <w:proofErr w:type="spellEnd"/>
      <w:r w:rsidRPr="00AA3DA4">
        <w:rPr>
          <w:rFonts w:ascii="Arial" w:hAnsi="Arial" w:cs="Arial"/>
        </w:rPr>
        <w:t xml:space="preserve"> proceeded to a stage 2 assessment. At stage 2 a more detailed assessment was considered and showed the land within the ownership of the Council. The map below shows the land ownership as presented in the Council’s statement for Hearing Session 3.</w:t>
      </w:r>
    </w:p>
    <w:p w14:paraId="33DD62B4" w14:textId="77777777" w:rsidR="00AA3DA4" w:rsidRPr="00AA3DA4" w:rsidRDefault="00AA3DA4" w:rsidP="00AA3DA4">
      <w:pPr>
        <w:spacing w:after="0" w:line="360" w:lineRule="auto"/>
        <w:rPr>
          <w:rFonts w:ascii="Arial" w:hAnsi="Arial" w:cs="Arial"/>
        </w:rPr>
      </w:pPr>
    </w:p>
    <w:p w14:paraId="4F206C54" w14:textId="77777777" w:rsidR="00AA3DA4" w:rsidRPr="00AA3DA4" w:rsidRDefault="00AA3DA4" w:rsidP="00AA3DA4">
      <w:pPr>
        <w:spacing w:after="0" w:line="360" w:lineRule="auto"/>
        <w:rPr>
          <w:rFonts w:ascii="Arial" w:hAnsi="Arial" w:cs="Arial"/>
        </w:rPr>
      </w:pPr>
      <w:r w:rsidRPr="003B0DBF">
        <w:rPr>
          <w:noProof/>
          <w:highlight w:val="yellow"/>
        </w:rPr>
        <w:drawing>
          <wp:inline distT="0" distB="0" distL="0" distR="0" wp14:anchorId="76668DB3" wp14:editId="575704BC">
            <wp:extent cx="5620534" cy="3505689"/>
            <wp:effectExtent l="0" t="0" r="0" b="0"/>
            <wp:docPr id="849875875" name="Picture 1" descr="A map of a land with buildings and roa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875875" name="Picture 1" descr="A map of a land with buildings and roads&#10;&#10;Description automatically generated"/>
                    <pic:cNvPicPr/>
                  </pic:nvPicPr>
                  <pic:blipFill>
                    <a:blip r:embed="rId8"/>
                    <a:stretch>
                      <a:fillRect/>
                    </a:stretch>
                  </pic:blipFill>
                  <pic:spPr>
                    <a:xfrm>
                      <a:off x="0" y="0"/>
                      <a:ext cx="5620534" cy="3505689"/>
                    </a:xfrm>
                    <a:prstGeom prst="rect">
                      <a:avLst/>
                    </a:prstGeom>
                  </pic:spPr>
                </pic:pic>
              </a:graphicData>
            </a:graphic>
          </wp:inline>
        </w:drawing>
      </w:r>
      <w:r w:rsidRPr="00AA3DA4">
        <w:rPr>
          <w:rFonts w:ascii="Arial" w:hAnsi="Arial" w:cs="Arial"/>
        </w:rPr>
        <w:t xml:space="preserve">The allocation of the Gypsy and Traveller site is contained within sections B and D. Area B and C are owned by the Local Authority. </w:t>
      </w:r>
    </w:p>
    <w:p w14:paraId="29E8C3A9" w14:textId="77777777" w:rsidR="00AA3DA4" w:rsidRPr="00AA3DA4" w:rsidRDefault="00AA3DA4" w:rsidP="00AA3DA4">
      <w:pPr>
        <w:spacing w:after="0" w:line="360" w:lineRule="auto"/>
        <w:rPr>
          <w:rFonts w:ascii="Arial" w:hAnsi="Arial" w:cs="Arial"/>
        </w:rPr>
      </w:pPr>
    </w:p>
    <w:p w14:paraId="61A6E882" w14:textId="77777777" w:rsidR="00AA3DA4" w:rsidRPr="00AA3DA4" w:rsidRDefault="00AA3DA4" w:rsidP="00AA3DA4">
      <w:pPr>
        <w:spacing w:after="0" w:line="360" w:lineRule="auto"/>
        <w:rPr>
          <w:rFonts w:ascii="Arial" w:hAnsi="Arial" w:cs="Arial"/>
        </w:rPr>
      </w:pPr>
      <w:r w:rsidRPr="00AA3DA4">
        <w:rPr>
          <w:rFonts w:ascii="Arial" w:hAnsi="Arial" w:cs="Arial"/>
        </w:rPr>
        <w:t xml:space="preserve">Area B is an irregular parcel of land behind </w:t>
      </w:r>
      <w:proofErr w:type="spellStart"/>
      <w:r w:rsidRPr="00AA3DA4">
        <w:rPr>
          <w:rFonts w:ascii="Arial" w:hAnsi="Arial" w:cs="Arial"/>
        </w:rPr>
        <w:t>Trostre</w:t>
      </w:r>
      <w:proofErr w:type="spellEnd"/>
      <w:r w:rsidRPr="00AA3DA4">
        <w:rPr>
          <w:rFonts w:ascii="Arial" w:hAnsi="Arial" w:cs="Arial"/>
        </w:rPr>
        <w:t xml:space="preserve"> Depot and measures 0.85ha. Area C is the access point between </w:t>
      </w:r>
      <w:proofErr w:type="spellStart"/>
      <w:r w:rsidRPr="00AA3DA4">
        <w:rPr>
          <w:rFonts w:ascii="Arial" w:hAnsi="Arial" w:cs="Arial"/>
        </w:rPr>
        <w:t>Trostre</w:t>
      </w:r>
      <w:proofErr w:type="spellEnd"/>
      <w:r w:rsidRPr="00AA3DA4">
        <w:rPr>
          <w:rFonts w:ascii="Arial" w:hAnsi="Arial" w:cs="Arial"/>
        </w:rPr>
        <w:t xml:space="preserve"> Depot and the Lord Arthur Rank Centre. </w:t>
      </w:r>
    </w:p>
    <w:p w14:paraId="5B32B351" w14:textId="77777777" w:rsidR="00AA3DA4" w:rsidRPr="00AA3DA4" w:rsidRDefault="00AA3DA4" w:rsidP="00AA3DA4">
      <w:pPr>
        <w:spacing w:after="0" w:line="360" w:lineRule="auto"/>
        <w:rPr>
          <w:rFonts w:ascii="Arial" w:hAnsi="Arial" w:cs="Arial"/>
        </w:rPr>
      </w:pPr>
    </w:p>
    <w:p w14:paraId="43162070" w14:textId="77777777" w:rsidR="00AA3DA4" w:rsidRPr="00AA3DA4" w:rsidRDefault="00AA3DA4" w:rsidP="00AA3DA4">
      <w:pPr>
        <w:spacing w:after="0" w:line="360" w:lineRule="auto"/>
        <w:rPr>
          <w:rFonts w:ascii="Arial" w:hAnsi="Arial" w:cs="Arial"/>
        </w:rPr>
      </w:pPr>
      <w:r w:rsidRPr="00AA3DA4">
        <w:rPr>
          <w:rFonts w:ascii="Arial" w:hAnsi="Arial" w:cs="Arial"/>
        </w:rPr>
        <w:t>Area D is within private ownership and is identified as disused recreational land, although it is overgrown and not maintained to allow any recreational and sporting use. This land was previously within Council ownership prior to its sale. This land measures 2.9ha in size and it relatively flat in nature.</w:t>
      </w:r>
    </w:p>
    <w:p w14:paraId="42E745C0" w14:textId="77777777" w:rsidR="00AA3DA4" w:rsidRPr="00AA3DA4" w:rsidRDefault="00AA3DA4" w:rsidP="00AA3DA4">
      <w:pPr>
        <w:spacing w:after="0" w:line="360" w:lineRule="auto"/>
        <w:rPr>
          <w:rFonts w:ascii="Arial" w:hAnsi="Arial" w:cs="Arial"/>
        </w:rPr>
      </w:pPr>
    </w:p>
    <w:p w14:paraId="3D6BA127" w14:textId="77777777" w:rsidR="00AA3DA4" w:rsidRPr="00AA3DA4" w:rsidRDefault="00AA3DA4" w:rsidP="00AA3DA4">
      <w:pPr>
        <w:spacing w:after="0" w:line="360" w:lineRule="auto"/>
        <w:rPr>
          <w:rFonts w:ascii="Arial" w:hAnsi="Arial" w:cs="Arial"/>
          <w:b/>
          <w:bCs/>
        </w:rPr>
      </w:pPr>
      <w:r w:rsidRPr="00AA3DA4">
        <w:rPr>
          <w:rFonts w:ascii="Arial" w:hAnsi="Arial" w:cs="Arial"/>
          <w:b/>
          <w:bCs/>
        </w:rPr>
        <w:t>Site Layout</w:t>
      </w:r>
    </w:p>
    <w:p w14:paraId="65123D2B" w14:textId="77777777" w:rsidR="00AA3DA4" w:rsidRPr="00AA3DA4" w:rsidRDefault="00AA3DA4" w:rsidP="00AA3DA4">
      <w:pPr>
        <w:spacing w:after="0" w:line="360" w:lineRule="auto"/>
        <w:rPr>
          <w:rFonts w:ascii="Arial" w:hAnsi="Arial" w:cs="Arial"/>
        </w:rPr>
      </w:pPr>
      <w:r w:rsidRPr="00AA3DA4">
        <w:rPr>
          <w:rFonts w:ascii="Arial" w:hAnsi="Arial" w:cs="Arial"/>
        </w:rPr>
        <w:t xml:space="preserve">An indicative plan is presented below to indicate that there is potential for 7 pitches to be accommodated on the Council owned land with access provision to be developed on the southern side of the site and immediately to the rear of </w:t>
      </w:r>
      <w:proofErr w:type="spellStart"/>
      <w:r w:rsidRPr="00AA3DA4">
        <w:rPr>
          <w:rFonts w:ascii="Arial" w:hAnsi="Arial" w:cs="Arial"/>
        </w:rPr>
        <w:t>Trostre</w:t>
      </w:r>
      <w:proofErr w:type="spellEnd"/>
      <w:r w:rsidRPr="00AA3DA4">
        <w:rPr>
          <w:rFonts w:ascii="Arial" w:hAnsi="Arial" w:cs="Arial"/>
        </w:rPr>
        <w:t xml:space="preserve"> Depot. These 7 pitches are reflected within Policy SP10. </w:t>
      </w:r>
    </w:p>
    <w:p w14:paraId="07C178F6" w14:textId="77777777" w:rsidR="00AA3DA4" w:rsidRPr="00AA3DA4" w:rsidRDefault="00AA3DA4" w:rsidP="00AA3DA4">
      <w:pPr>
        <w:spacing w:after="0" w:line="360" w:lineRule="auto"/>
        <w:rPr>
          <w:rFonts w:ascii="Arial" w:hAnsi="Arial" w:cs="Arial"/>
        </w:rPr>
      </w:pPr>
    </w:p>
    <w:p w14:paraId="244A1CC8" w14:textId="77777777" w:rsidR="00AA3DA4" w:rsidRPr="00AA3DA4" w:rsidRDefault="00AA3DA4" w:rsidP="00AA3DA4">
      <w:pPr>
        <w:spacing w:after="0" w:line="360" w:lineRule="auto"/>
        <w:rPr>
          <w:rFonts w:ascii="Arial" w:hAnsi="Arial" w:cs="Arial"/>
        </w:rPr>
      </w:pPr>
      <w:r w:rsidRPr="00AA3DA4">
        <w:rPr>
          <w:rFonts w:ascii="Arial" w:hAnsi="Arial" w:cs="Arial"/>
        </w:rPr>
        <w:t xml:space="preserve">A further plan is provided below which shows the Public Rights of Way which runs in a Northeast to Southwest direction and immediately adjacent to the site. </w:t>
      </w:r>
    </w:p>
    <w:p w14:paraId="4A3EECF6" w14:textId="77777777" w:rsidR="00AA3DA4" w:rsidRPr="003B0DBF" w:rsidRDefault="00AA3DA4" w:rsidP="00AA3DA4">
      <w:pPr>
        <w:spacing w:after="0" w:line="360" w:lineRule="auto"/>
        <w:rPr>
          <w:rFonts w:ascii="Arial" w:hAnsi="Arial" w:cs="Arial"/>
          <w:highlight w:val="yellow"/>
        </w:rPr>
      </w:pPr>
    </w:p>
    <w:p w14:paraId="6B157E12" w14:textId="77777777" w:rsidR="00AA3DA4" w:rsidRPr="003B0DBF" w:rsidRDefault="00AA3DA4" w:rsidP="00AA3DA4">
      <w:pPr>
        <w:spacing w:after="0" w:line="360" w:lineRule="auto"/>
        <w:rPr>
          <w:rFonts w:ascii="Arial" w:hAnsi="Arial" w:cs="Arial"/>
          <w:highlight w:val="yellow"/>
        </w:rPr>
        <w:sectPr w:rsidR="00AA3DA4" w:rsidRPr="003B0DBF" w:rsidSect="00AA3DA4">
          <w:pgSz w:w="11906" w:h="16838"/>
          <w:pgMar w:top="1440" w:right="1440" w:bottom="1440" w:left="1440" w:header="708" w:footer="708" w:gutter="0"/>
          <w:cols w:space="708"/>
          <w:docGrid w:linePitch="360"/>
        </w:sectPr>
      </w:pPr>
    </w:p>
    <w:p w14:paraId="3292572D" w14:textId="77777777" w:rsidR="00AA3DA4" w:rsidRPr="00AA3DA4" w:rsidRDefault="00AA3DA4" w:rsidP="00AA3DA4">
      <w:pPr>
        <w:spacing w:after="0" w:line="360" w:lineRule="auto"/>
        <w:rPr>
          <w:rFonts w:ascii="Arial" w:hAnsi="Arial" w:cs="Arial"/>
        </w:rPr>
      </w:pPr>
      <w:r w:rsidRPr="00AA3DA4">
        <w:rPr>
          <w:rFonts w:ascii="Arial" w:hAnsi="Arial" w:cs="Arial"/>
        </w:rPr>
        <w:lastRenderedPageBreak/>
        <w:t>Constraints</w:t>
      </w:r>
    </w:p>
    <w:p w14:paraId="33271CB6" w14:textId="77777777" w:rsidR="00AA3DA4" w:rsidRPr="00AA3DA4" w:rsidRDefault="00AA3DA4" w:rsidP="00AA3DA4">
      <w:pPr>
        <w:spacing w:after="0" w:line="360" w:lineRule="auto"/>
        <w:rPr>
          <w:rFonts w:ascii="Arial" w:hAnsi="Arial" w:cs="Arial"/>
        </w:rPr>
      </w:pPr>
    </w:p>
    <w:p w14:paraId="7E8530E7" w14:textId="77777777" w:rsidR="00AA3DA4" w:rsidRPr="00AA3DA4" w:rsidRDefault="00AA3DA4" w:rsidP="00AA3DA4">
      <w:pPr>
        <w:spacing w:after="0" w:line="360" w:lineRule="auto"/>
        <w:rPr>
          <w:rFonts w:ascii="Arial" w:hAnsi="Arial" w:cs="Arial"/>
        </w:rPr>
      </w:pPr>
      <w:r w:rsidRPr="00AA3DA4">
        <w:rPr>
          <w:rFonts w:ascii="Arial" w:hAnsi="Arial" w:cs="Arial"/>
        </w:rPr>
        <w:t>In considering the discussion with Hearing Session 3 the following information is provided.</w:t>
      </w:r>
    </w:p>
    <w:p w14:paraId="56B2165D" w14:textId="77777777" w:rsidR="00AA3DA4" w:rsidRPr="00AA3DA4" w:rsidRDefault="00AA3DA4" w:rsidP="00AA3DA4">
      <w:pPr>
        <w:spacing w:after="0" w:line="360" w:lineRule="auto"/>
        <w:rPr>
          <w:rFonts w:ascii="Arial" w:hAnsi="Arial" w:cs="Arial"/>
        </w:rPr>
      </w:pPr>
    </w:p>
    <w:p w14:paraId="0910BEC9" w14:textId="77777777" w:rsidR="00AA3DA4" w:rsidRPr="00AA3DA4" w:rsidRDefault="00AA3DA4" w:rsidP="00AA3DA4">
      <w:pPr>
        <w:spacing w:after="0" w:line="360" w:lineRule="auto"/>
        <w:rPr>
          <w:rFonts w:ascii="Arial" w:hAnsi="Arial" w:cs="Arial"/>
          <w:b/>
          <w:bCs/>
        </w:rPr>
      </w:pPr>
      <w:r w:rsidRPr="00AA3DA4">
        <w:rPr>
          <w:rFonts w:ascii="Arial" w:hAnsi="Arial" w:cs="Arial"/>
          <w:b/>
          <w:bCs/>
        </w:rPr>
        <w:t>Coal Mining</w:t>
      </w:r>
    </w:p>
    <w:p w14:paraId="6273E60E" w14:textId="77777777" w:rsidR="00AA3DA4" w:rsidRPr="00AA3DA4" w:rsidRDefault="00AA3DA4" w:rsidP="00AA3DA4">
      <w:pPr>
        <w:spacing w:after="0" w:line="360" w:lineRule="auto"/>
        <w:rPr>
          <w:rFonts w:ascii="Arial" w:hAnsi="Arial" w:cs="Arial"/>
        </w:rPr>
      </w:pPr>
      <w:r w:rsidRPr="00AA3DA4">
        <w:rPr>
          <w:rFonts w:ascii="Arial" w:hAnsi="Arial" w:cs="Arial"/>
        </w:rPr>
        <w:t xml:space="preserve">Reference is drawn to the map below which shows the High and Low Development Risk Area for Coal Mining. The High-Risk Development Area skirts the north-western side of the Council owned land and covers approximately 37% of this land. Whilst no assessment has been considered at this stage, it would be a requirement of any planning application to be accompanied by a Coal Mining Risk Assessment to consider if any mitigation would be required. </w:t>
      </w:r>
    </w:p>
    <w:p w14:paraId="134D9A67" w14:textId="77777777" w:rsidR="00AA3DA4" w:rsidRPr="00AA3DA4" w:rsidRDefault="00AA3DA4" w:rsidP="00AA3DA4">
      <w:pPr>
        <w:spacing w:after="0" w:line="360" w:lineRule="auto"/>
        <w:rPr>
          <w:rFonts w:ascii="Arial" w:hAnsi="Arial" w:cs="Arial"/>
        </w:rPr>
      </w:pPr>
    </w:p>
    <w:p w14:paraId="232929CD" w14:textId="77777777" w:rsidR="00AA3DA4" w:rsidRPr="00AA3DA4" w:rsidRDefault="00AA3DA4" w:rsidP="00AA3DA4">
      <w:pPr>
        <w:spacing w:after="0" w:line="360" w:lineRule="auto"/>
        <w:rPr>
          <w:rFonts w:ascii="Arial" w:hAnsi="Arial" w:cs="Arial"/>
        </w:rPr>
      </w:pPr>
    </w:p>
    <w:p w14:paraId="7D3562C7" w14:textId="77777777" w:rsidR="00AA3DA4" w:rsidRPr="00AA3DA4" w:rsidRDefault="00AA3DA4" w:rsidP="00AA3DA4">
      <w:pPr>
        <w:spacing w:after="0" w:line="360" w:lineRule="auto"/>
        <w:rPr>
          <w:rFonts w:ascii="Arial" w:hAnsi="Arial" w:cs="Arial"/>
          <w:b/>
          <w:bCs/>
        </w:rPr>
      </w:pPr>
      <w:r w:rsidRPr="00AA3DA4">
        <w:rPr>
          <w:rFonts w:ascii="Arial" w:hAnsi="Arial" w:cs="Arial"/>
          <w:b/>
          <w:bCs/>
        </w:rPr>
        <w:t>Ecology</w:t>
      </w:r>
    </w:p>
    <w:p w14:paraId="041B6D2C" w14:textId="77777777" w:rsidR="00AA3DA4" w:rsidRPr="00AA3DA4" w:rsidRDefault="00AA3DA4" w:rsidP="00AA3DA4">
      <w:pPr>
        <w:spacing w:after="0" w:line="360" w:lineRule="auto"/>
        <w:rPr>
          <w:rFonts w:ascii="Arial" w:hAnsi="Arial" w:cs="Arial"/>
        </w:rPr>
      </w:pPr>
      <w:r w:rsidRPr="00AA3DA4">
        <w:rPr>
          <w:rFonts w:ascii="Arial" w:hAnsi="Arial" w:cs="Arial"/>
        </w:rPr>
        <w:t xml:space="preserve">The site area is covered with overgrown bushes, shrubs and small trees. Detailed ecological and habitat assessments have not been undertaken on the site and these matters are to be considered at the planning application stage. In considering the site for the allocation of Gypsy and Traveller sites, NRW did not object on ecology and habitat grounds. </w:t>
      </w:r>
    </w:p>
    <w:p w14:paraId="2B37F4A5" w14:textId="77777777" w:rsidR="00AA3DA4" w:rsidRPr="00AA3DA4" w:rsidRDefault="00AA3DA4" w:rsidP="00AA3DA4">
      <w:pPr>
        <w:rPr>
          <w:rFonts w:ascii="Arial" w:hAnsi="Arial" w:cs="Arial"/>
        </w:rPr>
      </w:pPr>
    </w:p>
    <w:p w14:paraId="1CB1389B" w14:textId="77777777" w:rsidR="00AA3DA4" w:rsidRPr="00AA3DA4" w:rsidRDefault="00AA3DA4" w:rsidP="00AA3DA4">
      <w:pPr>
        <w:rPr>
          <w:rFonts w:ascii="Arial" w:hAnsi="Arial" w:cs="Arial"/>
          <w:b/>
          <w:bCs/>
        </w:rPr>
      </w:pPr>
      <w:r w:rsidRPr="00AA3DA4">
        <w:rPr>
          <w:rFonts w:ascii="Arial" w:hAnsi="Arial" w:cs="Arial"/>
          <w:b/>
          <w:bCs/>
        </w:rPr>
        <w:t>Contaminated Land</w:t>
      </w:r>
    </w:p>
    <w:p w14:paraId="0C58B172" w14:textId="55D563E8" w:rsidR="00DC6FB0" w:rsidRDefault="00AA3DA4" w:rsidP="00AA3DA4">
      <w:r w:rsidRPr="00AA3DA4">
        <w:rPr>
          <w:rFonts w:ascii="Arial" w:hAnsi="Arial" w:cs="Arial"/>
        </w:rPr>
        <w:t xml:space="preserve">The Contaminated Land Officer has provided updated comments. There are various former industrial land uses on the site, and within the surrounding area. There is no fundamental objection to the site’s development, however, the site is situated within a coal authority defined reporting area and is at potential risk from mine gases. Given this site setting, the officer would recommend that an appropriate contaminated land risk assessment (and if necessary, a remediation strategy) is submitted as part of any future planning applications for the development. The risk assessment will have to include a mine gas risk assessment that complies with the </w:t>
      </w:r>
      <w:proofErr w:type="gramStart"/>
      <w:r w:rsidRPr="00AA3DA4">
        <w:rPr>
          <w:rFonts w:ascii="Arial" w:hAnsi="Arial" w:cs="Arial"/>
        </w:rPr>
        <w:t>CL:AIRE</w:t>
      </w:r>
      <w:proofErr w:type="gramEnd"/>
      <w:r w:rsidRPr="00AA3DA4">
        <w:rPr>
          <w:rFonts w:ascii="Arial" w:hAnsi="Arial" w:cs="Arial"/>
        </w:rPr>
        <w:t xml:space="preserve"> guidance document ‘Good Practice for Risk Assessment for Coal Mine Gas Emissions; October 2021’.</w:t>
      </w:r>
    </w:p>
    <w:sectPr w:rsidR="00DC6FB0" w:rsidSect="00AA3D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52F54"/>
    <w:multiLevelType w:val="multilevel"/>
    <w:tmpl w:val="B3DE042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2DB116D8"/>
    <w:multiLevelType w:val="multilevel"/>
    <w:tmpl w:val="2D9880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911696796">
    <w:abstractNumId w:val="1"/>
  </w:num>
  <w:num w:numId="2" w16cid:durableId="644360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B77"/>
    <w:rsid w:val="000012CA"/>
    <w:rsid w:val="000046D5"/>
    <w:rsid w:val="000049F9"/>
    <w:rsid w:val="00026AFB"/>
    <w:rsid w:val="00027197"/>
    <w:rsid w:val="00032606"/>
    <w:rsid w:val="00047FB7"/>
    <w:rsid w:val="000561DE"/>
    <w:rsid w:val="000A2CAB"/>
    <w:rsid w:val="000A77B0"/>
    <w:rsid w:val="001001AD"/>
    <w:rsid w:val="0010310B"/>
    <w:rsid w:val="00135616"/>
    <w:rsid w:val="00137DAF"/>
    <w:rsid w:val="00160992"/>
    <w:rsid w:val="00167DDD"/>
    <w:rsid w:val="0017693A"/>
    <w:rsid w:val="00180F53"/>
    <w:rsid w:val="0019673E"/>
    <w:rsid w:val="00196898"/>
    <w:rsid w:val="001A2C61"/>
    <w:rsid w:val="001A535D"/>
    <w:rsid w:val="001C56F8"/>
    <w:rsid w:val="001D71CB"/>
    <w:rsid w:val="001D7DAB"/>
    <w:rsid w:val="001E3C2C"/>
    <w:rsid w:val="001E6396"/>
    <w:rsid w:val="002036FD"/>
    <w:rsid w:val="002104DF"/>
    <w:rsid w:val="00217C5E"/>
    <w:rsid w:val="00222833"/>
    <w:rsid w:val="00231513"/>
    <w:rsid w:val="00236409"/>
    <w:rsid w:val="00252808"/>
    <w:rsid w:val="002542A9"/>
    <w:rsid w:val="00255888"/>
    <w:rsid w:val="00256E89"/>
    <w:rsid w:val="00262032"/>
    <w:rsid w:val="00280CB5"/>
    <w:rsid w:val="002A1D25"/>
    <w:rsid w:val="002A1F8F"/>
    <w:rsid w:val="002A3AE1"/>
    <w:rsid w:val="002B2E2B"/>
    <w:rsid w:val="002B59AC"/>
    <w:rsid w:val="002D4C3F"/>
    <w:rsid w:val="002E6483"/>
    <w:rsid w:val="002F0E6E"/>
    <w:rsid w:val="00304E4C"/>
    <w:rsid w:val="00317C1C"/>
    <w:rsid w:val="0032465F"/>
    <w:rsid w:val="0032612F"/>
    <w:rsid w:val="00327457"/>
    <w:rsid w:val="003306B0"/>
    <w:rsid w:val="00334739"/>
    <w:rsid w:val="00335176"/>
    <w:rsid w:val="003671E5"/>
    <w:rsid w:val="003800AD"/>
    <w:rsid w:val="003835A2"/>
    <w:rsid w:val="00383DE2"/>
    <w:rsid w:val="00390722"/>
    <w:rsid w:val="003940B1"/>
    <w:rsid w:val="003951D3"/>
    <w:rsid w:val="003A17D5"/>
    <w:rsid w:val="003A6581"/>
    <w:rsid w:val="003C5D22"/>
    <w:rsid w:val="003E15DF"/>
    <w:rsid w:val="003F56AC"/>
    <w:rsid w:val="004121F0"/>
    <w:rsid w:val="0041395E"/>
    <w:rsid w:val="00416CB3"/>
    <w:rsid w:val="004208B7"/>
    <w:rsid w:val="00420BB6"/>
    <w:rsid w:val="0042687C"/>
    <w:rsid w:val="00427DC1"/>
    <w:rsid w:val="0043783E"/>
    <w:rsid w:val="00447E19"/>
    <w:rsid w:val="00453414"/>
    <w:rsid w:val="00453E82"/>
    <w:rsid w:val="00464905"/>
    <w:rsid w:val="00472336"/>
    <w:rsid w:val="00477AC0"/>
    <w:rsid w:val="00484AF8"/>
    <w:rsid w:val="00497C92"/>
    <w:rsid w:val="004A5117"/>
    <w:rsid w:val="004B02B3"/>
    <w:rsid w:val="004B77A6"/>
    <w:rsid w:val="004C1888"/>
    <w:rsid w:val="004C5F43"/>
    <w:rsid w:val="004C7B77"/>
    <w:rsid w:val="004D195F"/>
    <w:rsid w:val="00503644"/>
    <w:rsid w:val="005054A3"/>
    <w:rsid w:val="0050639B"/>
    <w:rsid w:val="0053006D"/>
    <w:rsid w:val="005312B6"/>
    <w:rsid w:val="0053641B"/>
    <w:rsid w:val="00540F27"/>
    <w:rsid w:val="00557FB7"/>
    <w:rsid w:val="0057391E"/>
    <w:rsid w:val="00581F2A"/>
    <w:rsid w:val="00582746"/>
    <w:rsid w:val="00594F95"/>
    <w:rsid w:val="005A67A4"/>
    <w:rsid w:val="005B2789"/>
    <w:rsid w:val="005B6890"/>
    <w:rsid w:val="005C383E"/>
    <w:rsid w:val="005D0FF2"/>
    <w:rsid w:val="005D2248"/>
    <w:rsid w:val="005D27C4"/>
    <w:rsid w:val="005D6B03"/>
    <w:rsid w:val="005E0F5C"/>
    <w:rsid w:val="005F15D3"/>
    <w:rsid w:val="005F2105"/>
    <w:rsid w:val="00611C9B"/>
    <w:rsid w:val="0061798C"/>
    <w:rsid w:val="00623760"/>
    <w:rsid w:val="00626712"/>
    <w:rsid w:val="00632D0B"/>
    <w:rsid w:val="00636FF4"/>
    <w:rsid w:val="00647B05"/>
    <w:rsid w:val="00661AE2"/>
    <w:rsid w:val="00663B62"/>
    <w:rsid w:val="00665174"/>
    <w:rsid w:val="0066728A"/>
    <w:rsid w:val="00673BC6"/>
    <w:rsid w:val="00677912"/>
    <w:rsid w:val="00685F10"/>
    <w:rsid w:val="00690679"/>
    <w:rsid w:val="006B44BA"/>
    <w:rsid w:val="006C3278"/>
    <w:rsid w:val="006E320F"/>
    <w:rsid w:val="00702EE3"/>
    <w:rsid w:val="00703266"/>
    <w:rsid w:val="007277F4"/>
    <w:rsid w:val="0073089B"/>
    <w:rsid w:val="00732877"/>
    <w:rsid w:val="0075014C"/>
    <w:rsid w:val="00754BA3"/>
    <w:rsid w:val="00791A55"/>
    <w:rsid w:val="00795216"/>
    <w:rsid w:val="007957C6"/>
    <w:rsid w:val="007C0DDB"/>
    <w:rsid w:val="007C5633"/>
    <w:rsid w:val="007D0BD9"/>
    <w:rsid w:val="007D0EC3"/>
    <w:rsid w:val="007D3320"/>
    <w:rsid w:val="007D4B62"/>
    <w:rsid w:val="007D628F"/>
    <w:rsid w:val="007E7A1E"/>
    <w:rsid w:val="007F2072"/>
    <w:rsid w:val="007F5DC3"/>
    <w:rsid w:val="007F6428"/>
    <w:rsid w:val="00822DB6"/>
    <w:rsid w:val="0082428A"/>
    <w:rsid w:val="00830BBF"/>
    <w:rsid w:val="00837077"/>
    <w:rsid w:val="008425A1"/>
    <w:rsid w:val="00865AA7"/>
    <w:rsid w:val="008A5874"/>
    <w:rsid w:val="008C013C"/>
    <w:rsid w:val="008C52BA"/>
    <w:rsid w:val="008D6289"/>
    <w:rsid w:val="008E291D"/>
    <w:rsid w:val="008E6C41"/>
    <w:rsid w:val="009106F1"/>
    <w:rsid w:val="00911768"/>
    <w:rsid w:val="00913050"/>
    <w:rsid w:val="009131EC"/>
    <w:rsid w:val="00916D37"/>
    <w:rsid w:val="00923C84"/>
    <w:rsid w:val="00924CF1"/>
    <w:rsid w:val="00930C59"/>
    <w:rsid w:val="00931152"/>
    <w:rsid w:val="00934B69"/>
    <w:rsid w:val="00941A0F"/>
    <w:rsid w:val="00943170"/>
    <w:rsid w:val="009517CB"/>
    <w:rsid w:val="009534AE"/>
    <w:rsid w:val="00954D7D"/>
    <w:rsid w:val="009550B5"/>
    <w:rsid w:val="009724FF"/>
    <w:rsid w:val="00990995"/>
    <w:rsid w:val="009A0E6F"/>
    <w:rsid w:val="009C5931"/>
    <w:rsid w:val="009D2E0D"/>
    <w:rsid w:val="009E6A72"/>
    <w:rsid w:val="009F0A1B"/>
    <w:rsid w:val="00A07723"/>
    <w:rsid w:val="00A10197"/>
    <w:rsid w:val="00A20448"/>
    <w:rsid w:val="00A317AA"/>
    <w:rsid w:val="00A31A9F"/>
    <w:rsid w:val="00A41CFB"/>
    <w:rsid w:val="00A62D11"/>
    <w:rsid w:val="00A87B19"/>
    <w:rsid w:val="00AA05CE"/>
    <w:rsid w:val="00AA3DA4"/>
    <w:rsid w:val="00AA7927"/>
    <w:rsid w:val="00AB5E0D"/>
    <w:rsid w:val="00AD2642"/>
    <w:rsid w:val="00B036EA"/>
    <w:rsid w:val="00B13F74"/>
    <w:rsid w:val="00B166D6"/>
    <w:rsid w:val="00B2675D"/>
    <w:rsid w:val="00B274D6"/>
    <w:rsid w:val="00B4552A"/>
    <w:rsid w:val="00B55B03"/>
    <w:rsid w:val="00B606C6"/>
    <w:rsid w:val="00B619B1"/>
    <w:rsid w:val="00B622FC"/>
    <w:rsid w:val="00B7228E"/>
    <w:rsid w:val="00B735FE"/>
    <w:rsid w:val="00B840EA"/>
    <w:rsid w:val="00B93920"/>
    <w:rsid w:val="00BA20B8"/>
    <w:rsid w:val="00BB06A9"/>
    <w:rsid w:val="00BC20D4"/>
    <w:rsid w:val="00BE2338"/>
    <w:rsid w:val="00C050CE"/>
    <w:rsid w:val="00C11C5A"/>
    <w:rsid w:val="00C23996"/>
    <w:rsid w:val="00C2458E"/>
    <w:rsid w:val="00C31429"/>
    <w:rsid w:val="00C35629"/>
    <w:rsid w:val="00C40CCD"/>
    <w:rsid w:val="00C44137"/>
    <w:rsid w:val="00C615CB"/>
    <w:rsid w:val="00C70F4D"/>
    <w:rsid w:val="00C80805"/>
    <w:rsid w:val="00C900E7"/>
    <w:rsid w:val="00CA1C05"/>
    <w:rsid w:val="00CC16F6"/>
    <w:rsid w:val="00CD6C9E"/>
    <w:rsid w:val="00CE2815"/>
    <w:rsid w:val="00CE2C3C"/>
    <w:rsid w:val="00CE647F"/>
    <w:rsid w:val="00CF49E9"/>
    <w:rsid w:val="00D027E2"/>
    <w:rsid w:val="00D03160"/>
    <w:rsid w:val="00D04822"/>
    <w:rsid w:val="00D07232"/>
    <w:rsid w:val="00D22F05"/>
    <w:rsid w:val="00D447C7"/>
    <w:rsid w:val="00D457CF"/>
    <w:rsid w:val="00D64D9B"/>
    <w:rsid w:val="00D70DC3"/>
    <w:rsid w:val="00D7735B"/>
    <w:rsid w:val="00D82CA0"/>
    <w:rsid w:val="00D83C74"/>
    <w:rsid w:val="00D878A0"/>
    <w:rsid w:val="00D93416"/>
    <w:rsid w:val="00D953FA"/>
    <w:rsid w:val="00DA5693"/>
    <w:rsid w:val="00DC42EF"/>
    <w:rsid w:val="00DC6FB0"/>
    <w:rsid w:val="00DC7281"/>
    <w:rsid w:val="00E22F3F"/>
    <w:rsid w:val="00E41BAA"/>
    <w:rsid w:val="00E50EDC"/>
    <w:rsid w:val="00E560EE"/>
    <w:rsid w:val="00E601BC"/>
    <w:rsid w:val="00E6098B"/>
    <w:rsid w:val="00E6451C"/>
    <w:rsid w:val="00E6745B"/>
    <w:rsid w:val="00E67AFD"/>
    <w:rsid w:val="00E70754"/>
    <w:rsid w:val="00E749C0"/>
    <w:rsid w:val="00E82AE7"/>
    <w:rsid w:val="00E940B8"/>
    <w:rsid w:val="00E961D7"/>
    <w:rsid w:val="00E96B98"/>
    <w:rsid w:val="00EA2738"/>
    <w:rsid w:val="00EA419D"/>
    <w:rsid w:val="00EB2B6C"/>
    <w:rsid w:val="00EB323F"/>
    <w:rsid w:val="00EB4843"/>
    <w:rsid w:val="00EC7216"/>
    <w:rsid w:val="00EC78B3"/>
    <w:rsid w:val="00ED5AAE"/>
    <w:rsid w:val="00EE2385"/>
    <w:rsid w:val="00EF3904"/>
    <w:rsid w:val="00F02A7A"/>
    <w:rsid w:val="00F21EDC"/>
    <w:rsid w:val="00F27358"/>
    <w:rsid w:val="00F6376A"/>
    <w:rsid w:val="00F81294"/>
    <w:rsid w:val="00F91904"/>
    <w:rsid w:val="00FA7CE0"/>
    <w:rsid w:val="00FB0F79"/>
    <w:rsid w:val="00FB1777"/>
    <w:rsid w:val="00FB3687"/>
    <w:rsid w:val="00FB71C5"/>
    <w:rsid w:val="00FC7724"/>
    <w:rsid w:val="00FD6628"/>
    <w:rsid w:val="00FE3A36"/>
    <w:rsid w:val="00FE462D"/>
    <w:rsid w:val="00FE4E14"/>
    <w:rsid w:val="00FE63F5"/>
    <w:rsid w:val="00FF4D7A"/>
    <w:rsid w:val="00FF6D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D707E"/>
  <w15:chartTrackingRefBased/>
  <w15:docId w15:val="{3A6CE207-B3B6-4293-BDBF-F71E955C0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7B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7B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7B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7B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7B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7B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7B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7B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7B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7B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7B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7B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7B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7B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7B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7B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7B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7B77"/>
    <w:rPr>
      <w:rFonts w:eastAsiaTheme="majorEastAsia" w:cstheme="majorBidi"/>
      <w:color w:val="272727" w:themeColor="text1" w:themeTint="D8"/>
    </w:rPr>
  </w:style>
  <w:style w:type="paragraph" w:styleId="Title">
    <w:name w:val="Title"/>
    <w:basedOn w:val="Normal"/>
    <w:next w:val="Normal"/>
    <w:link w:val="TitleChar"/>
    <w:uiPriority w:val="10"/>
    <w:qFormat/>
    <w:rsid w:val="004C7B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7B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7B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7B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7B77"/>
    <w:pPr>
      <w:spacing w:before="160"/>
      <w:jc w:val="center"/>
    </w:pPr>
    <w:rPr>
      <w:i/>
      <w:iCs/>
      <w:color w:val="404040" w:themeColor="text1" w:themeTint="BF"/>
    </w:rPr>
  </w:style>
  <w:style w:type="character" w:customStyle="1" w:styleId="QuoteChar">
    <w:name w:val="Quote Char"/>
    <w:basedOn w:val="DefaultParagraphFont"/>
    <w:link w:val="Quote"/>
    <w:uiPriority w:val="29"/>
    <w:rsid w:val="004C7B77"/>
    <w:rPr>
      <w:i/>
      <w:iCs/>
      <w:color w:val="404040" w:themeColor="text1" w:themeTint="BF"/>
    </w:rPr>
  </w:style>
  <w:style w:type="paragraph" w:styleId="ListParagraph">
    <w:name w:val="List Paragraph"/>
    <w:basedOn w:val="Normal"/>
    <w:uiPriority w:val="34"/>
    <w:qFormat/>
    <w:rsid w:val="004C7B77"/>
    <w:pPr>
      <w:ind w:left="720"/>
      <w:contextualSpacing/>
    </w:pPr>
  </w:style>
  <w:style w:type="character" w:styleId="IntenseEmphasis">
    <w:name w:val="Intense Emphasis"/>
    <w:basedOn w:val="DefaultParagraphFont"/>
    <w:uiPriority w:val="21"/>
    <w:qFormat/>
    <w:rsid w:val="004C7B77"/>
    <w:rPr>
      <w:i/>
      <w:iCs/>
      <w:color w:val="0F4761" w:themeColor="accent1" w:themeShade="BF"/>
    </w:rPr>
  </w:style>
  <w:style w:type="paragraph" w:styleId="IntenseQuote">
    <w:name w:val="Intense Quote"/>
    <w:basedOn w:val="Normal"/>
    <w:next w:val="Normal"/>
    <w:link w:val="IntenseQuoteChar"/>
    <w:uiPriority w:val="30"/>
    <w:qFormat/>
    <w:rsid w:val="004C7B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7B77"/>
    <w:rPr>
      <w:i/>
      <w:iCs/>
      <w:color w:val="0F4761" w:themeColor="accent1" w:themeShade="BF"/>
    </w:rPr>
  </w:style>
  <w:style w:type="character" w:styleId="IntenseReference">
    <w:name w:val="Intense Reference"/>
    <w:basedOn w:val="DefaultParagraphFont"/>
    <w:uiPriority w:val="32"/>
    <w:qFormat/>
    <w:rsid w:val="004C7B77"/>
    <w:rPr>
      <w:b/>
      <w:bCs/>
      <w:smallCaps/>
      <w:color w:val="0F4761" w:themeColor="accent1" w:themeShade="BF"/>
      <w:spacing w:val="5"/>
    </w:rPr>
  </w:style>
  <w:style w:type="table" w:styleId="TableGrid">
    <w:name w:val="Table Grid"/>
    <w:basedOn w:val="TableNormal"/>
    <w:uiPriority w:val="39"/>
    <w:rsid w:val="004C7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53755">
      <w:bodyDiv w:val="1"/>
      <w:marLeft w:val="0"/>
      <w:marRight w:val="0"/>
      <w:marTop w:val="0"/>
      <w:marBottom w:val="0"/>
      <w:divBdr>
        <w:top w:val="none" w:sz="0" w:space="0" w:color="auto"/>
        <w:left w:val="none" w:sz="0" w:space="0" w:color="auto"/>
        <w:bottom w:val="none" w:sz="0" w:space="0" w:color="auto"/>
        <w:right w:val="none" w:sz="0" w:space="0" w:color="auto"/>
      </w:divBdr>
    </w:div>
    <w:div w:id="394475326">
      <w:bodyDiv w:val="1"/>
      <w:marLeft w:val="0"/>
      <w:marRight w:val="0"/>
      <w:marTop w:val="0"/>
      <w:marBottom w:val="0"/>
      <w:divBdr>
        <w:top w:val="none" w:sz="0" w:space="0" w:color="auto"/>
        <w:left w:val="none" w:sz="0" w:space="0" w:color="auto"/>
        <w:bottom w:val="none" w:sz="0" w:space="0" w:color="auto"/>
        <w:right w:val="none" w:sz="0" w:space="0" w:color="auto"/>
      </w:divBdr>
    </w:div>
    <w:div w:id="1262764933">
      <w:bodyDiv w:val="1"/>
      <w:marLeft w:val="0"/>
      <w:marRight w:val="0"/>
      <w:marTop w:val="0"/>
      <w:marBottom w:val="0"/>
      <w:divBdr>
        <w:top w:val="none" w:sz="0" w:space="0" w:color="auto"/>
        <w:left w:val="none" w:sz="0" w:space="0" w:color="auto"/>
        <w:bottom w:val="none" w:sz="0" w:space="0" w:color="auto"/>
        <w:right w:val="none" w:sz="0" w:space="0" w:color="auto"/>
      </w:divBdr>
    </w:div>
    <w:div w:id="1580796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E72FCB22B88D4C84868C2B49ACDC1F" ma:contentTypeVersion="15" ma:contentTypeDescription="Create a new document." ma:contentTypeScope="" ma:versionID="b1c1eaace013ec55edca4d51d2e97a4a">
  <xsd:schema xmlns:xsd="http://www.w3.org/2001/XMLSchema" xmlns:xs="http://www.w3.org/2001/XMLSchema" xmlns:p="http://schemas.microsoft.com/office/2006/metadata/properties" xmlns:ns2="3796c711-4acb-4d3d-a580-180100c913f5" xmlns:ns3="0fc7efbc-3519-4043-a7cf-9257e46b4e16" targetNamespace="http://schemas.microsoft.com/office/2006/metadata/properties" ma:root="true" ma:fieldsID="bc2882fab0eeab65392ccd51e411582b" ns2:_="" ns3:_="">
    <xsd:import namespace="3796c711-4acb-4d3d-a580-180100c913f5"/>
    <xsd:import namespace="0fc7efbc-3519-4043-a7cf-9257e46b4e1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96c711-4acb-4d3d-a580-180100c91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b820720-3cae-4e0f-87a0-a0b1591a738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c7efbc-3519-4043-a7cf-9257e46b4e1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02da3f5-79f2-443c-8713-bed2e5b0d9b0}" ma:internalName="TaxCatchAll" ma:showField="CatchAllData" ma:web="0fc7efbc-3519-4043-a7cf-9257e46b4e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fc7efbc-3519-4043-a7cf-9257e46b4e16" xsi:nil="true"/>
    <lcf76f155ced4ddcb4097134ff3c332f xmlns="3796c711-4acb-4d3d-a580-180100c913f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C7B15D-C497-47CE-AC13-0908DC0154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96c711-4acb-4d3d-a580-180100c913f5"/>
    <ds:schemaRef ds:uri="0fc7efbc-3519-4043-a7cf-9257e46b4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633AC5-AB33-4F8E-8F0E-2E3398D67CAE}">
  <ds:schemaRefs>
    <ds:schemaRef ds:uri="http://schemas.microsoft.com/office/2006/metadata/properties"/>
    <ds:schemaRef ds:uri="http://schemas.microsoft.com/office/infopath/2007/PartnerControls"/>
    <ds:schemaRef ds:uri="0fc7efbc-3519-4043-a7cf-9257e46b4e16"/>
    <ds:schemaRef ds:uri="3796c711-4acb-4d3d-a580-180100c913f5"/>
  </ds:schemaRefs>
</ds:datastoreItem>
</file>

<file path=customXml/itemProps3.xml><?xml version="1.0" encoding="utf-8"?>
<ds:datastoreItem xmlns:ds="http://schemas.openxmlformats.org/officeDocument/2006/customXml" ds:itemID="{B552DBD7-473A-44DE-AE4A-4547D1189F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2731</Words>
  <Characters>14618</Characters>
  <Application>Microsoft Office Word</Application>
  <DocSecurity>0</DocSecurity>
  <Lines>400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Clement</dc:creator>
  <cp:keywords/>
  <dc:description/>
  <cp:lastModifiedBy>Helen Davies-Eynon</cp:lastModifiedBy>
  <cp:revision>3</cp:revision>
  <dcterms:created xsi:type="dcterms:W3CDTF">2025-11-03T13:46:00Z</dcterms:created>
  <dcterms:modified xsi:type="dcterms:W3CDTF">2025-11-04T15:38:00Z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0x01010004E72FCB22B88D4C84868C2B49ACDC1F</vt:lpwstr>
  </property>
  <property fmtid="{D5CDD505-2E9C-101B-9397-08002B2CF9AE}" pid="3" name="MediaServiceImageTags">
    <vt:lpwstr/>
  </property>
</Properties>
</file>