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14B1A" w14:textId="77777777" w:rsidR="000F3DEB" w:rsidRPr="00693189" w:rsidRDefault="000F3DEB" w:rsidP="000F3DEB">
      <w:pPr>
        <w:pBdr>
          <w:bottom w:val="single" w:sz="4" w:space="1" w:color="auto"/>
        </w:pBdr>
        <w:jc w:val="center"/>
        <w:rPr>
          <w:rFonts w:ascii="Arial" w:hAnsi="Arial" w:cs="Arial"/>
          <w:b/>
          <w:bCs/>
          <w:sz w:val="28"/>
          <w:szCs w:val="28"/>
        </w:rPr>
      </w:pPr>
      <w:r w:rsidRPr="00693189">
        <w:rPr>
          <w:rFonts w:ascii="Arial" w:hAnsi="Arial" w:cs="Arial"/>
          <w:b/>
          <w:bCs/>
          <w:sz w:val="28"/>
          <w:szCs w:val="28"/>
        </w:rPr>
        <w:t>CARMARTHENSHIRE</w:t>
      </w:r>
    </w:p>
    <w:p w14:paraId="35FB0747" w14:textId="77777777" w:rsidR="000F3DEB" w:rsidRDefault="000F3DEB" w:rsidP="000F3DEB">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4FE694AB" w14:textId="76985018" w:rsidR="00FF6666" w:rsidRPr="00693189" w:rsidRDefault="00FF6666" w:rsidP="000F3DEB">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513D1A7B" w14:textId="10428F49" w:rsidR="00836F4F" w:rsidRDefault="00836F4F" w:rsidP="00836F4F">
      <w:pPr>
        <w:jc w:val="center"/>
        <w:rPr>
          <w:rFonts w:ascii="Arial" w:hAnsi="Arial" w:cs="Arial"/>
          <w:b/>
          <w:bCs/>
          <w:sz w:val="24"/>
          <w:szCs w:val="24"/>
        </w:rPr>
      </w:pPr>
      <w:r w:rsidRPr="00E21AE2">
        <w:rPr>
          <w:rFonts w:ascii="Arial" w:hAnsi="Arial" w:cs="Arial"/>
          <w:b/>
          <w:bCs/>
          <w:sz w:val="24"/>
          <w:szCs w:val="24"/>
        </w:rPr>
        <w:t xml:space="preserve">Hearing Session </w:t>
      </w:r>
      <w:r>
        <w:rPr>
          <w:rFonts w:ascii="Arial" w:hAnsi="Arial" w:cs="Arial"/>
          <w:b/>
          <w:bCs/>
          <w:sz w:val="24"/>
          <w:szCs w:val="24"/>
        </w:rPr>
        <w:t>2</w:t>
      </w:r>
      <w:r w:rsidRPr="00E21AE2">
        <w:rPr>
          <w:rFonts w:ascii="Arial" w:hAnsi="Arial" w:cs="Arial"/>
          <w:b/>
          <w:bCs/>
          <w:sz w:val="24"/>
          <w:szCs w:val="24"/>
        </w:rPr>
        <w:t xml:space="preserve"> </w:t>
      </w:r>
      <w:r w:rsidR="003C54EB">
        <w:rPr>
          <w:rFonts w:ascii="Arial" w:hAnsi="Arial" w:cs="Arial"/>
          <w:b/>
          <w:bCs/>
          <w:sz w:val="24"/>
          <w:szCs w:val="24"/>
        </w:rPr>
        <w:t>–</w:t>
      </w:r>
      <w:r w:rsidRPr="00E21AE2">
        <w:rPr>
          <w:rFonts w:ascii="Arial" w:hAnsi="Arial" w:cs="Arial"/>
          <w:b/>
          <w:bCs/>
          <w:sz w:val="24"/>
          <w:szCs w:val="24"/>
        </w:rPr>
        <w:t xml:space="preserve"> </w:t>
      </w:r>
      <w:r w:rsidR="003C54EB">
        <w:rPr>
          <w:rFonts w:ascii="Arial" w:hAnsi="Arial" w:cs="Arial"/>
          <w:b/>
          <w:bCs/>
          <w:sz w:val="24"/>
          <w:szCs w:val="24"/>
        </w:rPr>
        <w:t>Housing and Community Infrastructure</w:t>
      </w:r>
    </w:p>
    <w:p w14:paraId="5AD29BA3" w14:textId="032166DF" w:rsidR="000F3DEB" w:rsidRPr="000F3DEB" w:rsidRDefault="000F3DEB" w:rsidP="000F3DEB">
      <w:pPr>
        <w:rPr>
          <w:rFonts w:ascii="Arial" w:hAnsi="Arial" w:cs="Arial"/>
          <w:b/>
          <w:bCs/>
          <w:sz w:val="24"/>
          <w:szCs w:val="24"/>
        </w:rPr>
      </w:pPr>
    </w:p>
    <w:tbl>
      <w:tblPr>
        <w:tblStyle w:val="TableGrid"/>
        <w:tblW w:w="0" w:type="auto"/>
        <w:tblLook w:val="04A0" w:firstRow="1" w:lastRow="0" w:firstColumn="1" w:lastColumn="0" w:noHBand="0" w:noVBand="1"/>
      </w:tblPr>
      <w:tblGrid>
        <w:gridCol w:w="6374"/>
        <w:gridCol w:w="2642"/>
      </w:tblGrid>
      <w:tr w:rsidR="000F3DEB" w:rsidRPr="00693189" w14:paraId="19C542FC" w14:textId="77777777">
        <w:tc>
          <w:tcPr>
            <w:tcW w:w="6374" w:type="dxa"/>
          </w:tcPr>
          <w:p w14:paraId="5CE4901C" w14:textId="77777777" w:rsidR="000F3DEB" w:rsidRPr="00AA6476" w:rsidRDefault="000F3DEB">
            <w:pPr>
              <w:rPr>
                <w:rFonts w:ascii="Arial" w:hAnsi="Arial" w:cs="Arial"/>
                <w:b/>
                <w:bCs/>
                <w:sz w:val="24"/>
                <w:szCs w:val="24"/>
              </w:rPr>
            </w:pPr>
            <w:r w:rsidRPr="00AA6476">
              <w:rPr>
                <w:rFonts w:ascii="Arial" w:hAnsi="Arial" w:cs="Arial"/>
                <w:b/>
                <w:bCs/>
                <w:sz w:val="24"/>
                <w:szCs w:val="24"/>
              </w:rPr>
              <w:t>Action Point</w:t>
            </w:r>
          </w:p>
        </w:tc>
        <w:tc>
          <w:tcPr>
            <w:tcW w:w="2642" w:type="dxa"/>
          </w:tcPr>
          <w:p w14:paraId="47797689" w14:textId="77777777" w:rsidR="000F3DEB" w:rsidRPr="00AA6476" w:rsidRDefault="000F3DEB">
            <w:pPr>
              <w:rPr>
                <w:rFonts w:ascii="Arial" w:hAnsi="Arial" w:cs="Arial"/>
                <w:b/>
                <w:bCs/>
                <w:sz w:val="24"/>
                <w:szCs w:val="24"/>
              </w:rPr>
            </w:pPr>
            <w:r w:rsidRPr="00AA6476">
              <w:rPr>
                <w:rFonts w:ascii="Arial" w:hAnsi="Arial" w:cs="Arial"/>
                <w:b/>
                <w:bCs/>
                <w:sz w:val="24"/>
                <w:szCs w:val="24"/>
              </w:rPr>
              <w:t>To be completed by</w:t>
            </w:r>
          </w:p>
        </w:tc>
      </w:tr>
      <w:tr w:rsidR="000F3DEB" w14:paraId="12BADCAA" w14:textId="77777777">
        <w:tc>
          <w:tcPr>
            <w:tcW w:w="6374" w:type="dxa"/>
          </w:tcPr>
          <w:p w14:paraId="156E4771" w14:textId="4B23602F" w:rsidR="00BD71CB" w:rsidRPr="00CA2AC1" w:rsidRDefault="00CA2AC1" w:rsidP="00BD71CB">
            <w:pPr>
              <w:contextualSpacing/>
              <w:rPr>
                <w:rFonts w:ascii="Arial" w:hAnsi="Arial" w:cs="Arial"/>
                <w:b/>
                <w:bCs/>
                <w:sz w:val="24"/>
                <w:szCs w:val="24"/>
              </w:rPr>
            </w:pPr>
            <w:bookmarkStart w:id="0" w:name="_Hlk180569372"/>
            <w:bookmarkStart w:id="1" w:name="_Hlk180655257"/>
            <w:r w:rsidRPr="00CA2AC1">
              <w:rPr>
                <w:rFonts w:ascii="Arial" w:hAnsi="Arial" w:cs="Arial"/>
                <w:b/>
                <w:bCs/>
                <w:sz w:val="24"/>
                <w:szCs w:val="24"/>
              </w:rPr>
              <w:t xml:space="preserve">AP2/1 </w:t>
            </w:r>
            <w:r w:rsidR="00A54CC4">
              <w:rPr>
                <w:rFonts w:ascii="Arial" w:hAnsi="Arial" w:cs="Arial"/>
                <w:b/>
                <w:bCs/>
                <w:sz w:val="24"/>
                <w:szCs w:val="24"/>
              </w:rPr>
              <w:t>–</w:t>
            </w:r>
            <w:r w:rsidRPr="00CA2AC1">
              <w:rPr>
                <w:rFonts w:ascii="Arial" w:hAnsi="Arial" w:cs="Arial"/>
                <w:b/>
                <w:bCs/>
                <w:sz w:val="24"/>
                <w:szCs w:val="24"/>
              </w:rPr>
              <w:t xml:space="preserve"> </w:t>
            </w:r>
            <w:r w:rsidR="00A54CC4" w:rsidRPr="00EC5C3C">
              <w:rPr>
                <w:rFonts w:ascii="Arial" w:hAnsi="Arial" w:cs="Arial"/>
                <w:sz w:val="24"/>
                <w:szCs w:val="24"/>
              </w:rPr>
              <w:t>Amend Policy SP</w:t>
            </w:r>
            <w:r w:rsidR="0085354A" w:rsidRPr="00EC5C3C">
              <w:rPr>
                <w:rFonts w:ascii="Arial" w:hAnsi="Arial" w:cs="Arial"/>
                <w:sz w:val="24"/>
                <w:szCs w:val="24"/>
              </w:rPr>
              <w:t>4</w:t>
            </w:r>
            <w:r w:rsidR="009B7098" w:rsidRPr="00EC5C3C">
              <w:rPr>
                <w:rFonts w:ascii="Arial" w:hAnsi="Arial" w:cs="Arial"/>
                <w:sz w:val="24"/>
                <w:szCs w:val="24"/>
              </w:rPr>
              <w:t xml:space="preserve">, its reasoned justification and </w:t>
            </w:r>
            <w:r w:rsidR="003B6D87" w:rsidRPr="00EC5C3C">
              <w:rPr>
                <w:rFonts w:ascii="Arial" w:hAnsi="Arial" w:cs="Arial"/>
                <w:sz w:val="24"/>
                <w:szCs w:val="24"/>
              </w:rPr>
              <w:t>the appendix</w:t>
            </w:r>
            <w:r w:rsidR="007521AD" w:rsidRPr="00EC5C3C">
              <w:rPr>
                <w:rFonts w:ascii="Arial" w:hAnsi="Arial" w:cs="Arial"/>
                <w:sz w:val="24"/>
                <w:szCs w:val="24"/>
              </w:rPr>
              <w:t xml:space="preserve"> to include the revised </w:t>
            </w:r>
            <w:r w:rsidR="003E57C7" w:rsidRPr="00EC5C3C">
              <w:rPr>
                <w:rFonts w:ascii="Arial" w:hAnsi="Arial" w:cs="Arial"/>
                <w:sz w:val="24"/>
                <w:szCs w:val="24"/>
              </w:rPr>
              <w:t xml:space="preserve">housing supply figure of </w:t>
            </w:r>
            <w:r w:rsidR="002F07BD" w:rsidRPr="00EC5C3C">
              <w:rPr>
                <w:rFonts w:ascii="Arial" w:hAnsi="Arial" w:cs="Arial"/>
                <w:sz w:val="24"/>
                <w:szCs w:val="24"/>
              </w:rPr>
              <w:t xml:space="preserve">9,045, provide details of the </w:t>
            </w:r>
            <w:r w:rsidR="00854415" w:rsidRPr="00EC5C3C">
              <w:rPr>
                <w:rFonts w:ascii="Arial" w:hAnsi="Arial" w:cs="Arial"/>
                <w:sz w:val="24"/>
                <w:szCs w:val="24"/>
              </w:rPr>
              <w:t>make-up</w:t>
            </w:r>
            <w:r w:rsidR="002F07BD" w:rsidRPr="00EC5C3C">
              <w:rPr>
                <w:rFonts w:ascii="Arial" w:hAnsi="Arial" w:cs="Arial"/>
                <w:sz w:val="24"/>
                <w:szCs w:val="24"/>
              </w:rPr>
              <w:t xml:space="preserve"> of the</w:t>
            </w:r>
            <w:r w:rsidR="00EC5C3C" w:rsidRPr="00EC5C3C">
              <w:rPr>
                <w:rFonts w:ascii="Arial" w:hAnsi="Arial" w:cs="Arial"/>
                <w:sz w:val="24"/>
                <w:szCs w:val="24"/>
              </w:rPr>
              <w:t xml:space="preserve"> housing</w:t>
            </w:r>
            <w:r w:rsidR="002F07BD" w:rsidRPr="00EC5C3C">
              <w:rPr>
                <w:rFonts w:ascii="Arial" w:hAnsi="Arial" w:cs="Arial"/>
                <w:sz w:val="24"/>
                <w:szCs w:val="24"/>
              </w:rPr>
              <w:t xml:space="preserve"> supply and </w:t>
            </w:r>
            <w:r w:rsidR="00EC5C3C" w:rsidRPr="00EC5C3C">
              <w:rPr>
                <w:rFonts w:ascii="Arial" w:hAnsi="Arial" w:cs="Arial"/>
                <w:sz w:val="24"/>
                <w:szCs w:val="24"/>
              </w:rPr>
              <w:t>an updated trajectory.</w:t>
            </w:r>
          </w:p>
        </w:tc>
        <w:tc>
          <w:tcPr>
            <w:tcW w:w="2642" w:type="dxa"/>
          </w:tcPr>
          <w:p w14:paraId="42B772C6" w14:textId="2328CF60" w:rsidR="000F3DEB" w:rsidRPr="00AA6476" w:rsidRDefault="00B80AA9">
            <w:pPr>
              <w:rPr>
                <w:rFonts w:ascii="Arial" w:hAnsi="Arial" w:cs="Arial"/>
                <w:sz w:val="24"/>
                <w:szCs w:val="24"/>
              </w:rPr>
            </w:pPr>
            <w:r>
              <w:rPr>
                <w:rFonts w:ascii="Arial" w:hAnsi="Arial" w:cs="Arial"/>
                <w:sz w:val="24"/>
                <w:szCs w:val="24"/>
              </w:rPr>
              <w:t>21 November 20</w:t>
            </w:r>
            <w:r w:rsidR="00A11A92">
              <w:rPr>
                <w:rFonts w:ascii="Arial" w:hAnsi="Arial" w:cs="Arial"/>
                <w:sz w:val="24"/>
                <w:szCs w:val="24"/>
              </w:rPr>
              <w:t>24</w:t>
            </w:r>
          </w:p>
        </w:tc>
      </w:tr>
      <w:tr w:rsidR="000F3DEB" w14:paraId="5A53CA82" w14:textId="77777777">
        <w:tc>
          <w:tcPr>
            <w:tcW w:w="6374" w:type="dxa"/>
          </w:tcPr>
          <w:p w14:paraId="7276C56E" w14:textId="7E0C6587" w:rsidR="00091E7D" w:rsidRPr="00243755" w:rsidRDefault="00CA2AC1" w:rsidP="000D5EEE">
            <w:pPr>
              <w:rPr>
                <w:rFonts w:ascii="Arial" w:hAnsi="Arial" w:cs="Arial"/>
                <w:sz w:val="24"/>
                <w:szCs w:val="24"/>
              </w:rPr>
            </w:pPr>
            <w:r w:rsidRPr="00CA2AC1">
              <w:rPr>
                <w:rFonts w:ascii="Arial" w:hAnsi="Arial" w:cs="Arial"/>
                <w:b/>
                <w:bCs/>
                <w:sz w:val="24"/>
                <w:szCs w:val="24"/>
              </w:rPr>
              <w:t>AP2/</w:t>
            </w:r>
            <w:r w:rsidR="00D344A2">
              <w:rPr>
                <w:rFonts w:ascii="Arial" w:hAnsi="Arial" w:cs="Arial"/>
                <w:b/>
                <w:bCs/>
                <w:sz w:val="24"/>
                <w:szCs w:val="24"/>
              </w:rPr>
              <w:t>2</w:t>
            </w:r>
            <w:r w:rsidRPr="00CA2AC1">
              <w:rPr>
                <w:rFonts w:ascii="Arial" w:hAnsi="Arial" w:cs="Arial"/>
                <w:b/>
                <w:bCs/>
                <w:sz w:val="24"/>
                <w:szCs w:val="24"/>
              </w:rPr>
              <w:t xml:space="preserve"> -</w:t>
            </w:r>
            <w:r w:rsidR="00C20F23">
              <w:rPr>
                <w:rFonts w:ascii="Arial" w:hAnsi="Arial" w:cs="Arial"/>
                <w:b/>
                <w:bCs/>
                <w:sz w:val="24"/>
                <w:szCs w:val="24"/>
              </w:rPr>
              <w:t xml:space="preserve"> </w:t>
            </w:r>
            <w:r w:rsidR="007F5540" w:rsidRPr="00327495">
              <w:rPr>
                <w:rFonts w:ascii="Arial" w:hAnsi="Arial" w:cs="Arial"/>
                <w:sz w:val="24"/>
                <w:szCs w:val="24"/>
              </w:rPr>
              <w:t>Council to provide a l</w:t>
            </w:r>
            <w:r w:rsidR="00327495" w:rsidRPr="00327495">
              <w:rPr>
                <w:rFonts w:ascii="Arial" w:hAnsi="Arial" w:cs="Arial"/>
                <w:sz w:val="24"/>
                <w:szCs w:val="24"/>
              </w:rPr>
              <w:t>ist</w:t>
            </w:r>
            <w:r w:rsidR="007F5540" w:rsidRPr="00327495">
              <w:rPr>
                <w:rFonts w:ascii="Arial" w:hAnsi="Arial" w:cs="Arial"/>
                <w:sz w:val="24"/>
                <w:szCs w:val="24"/>
              </w:rPr>
              <w:t xml:space="preserve"> of </w:t>
            </w:r>
            <w:r w:rsidR="00080124" w:rsidRPr="00327495">
              <w:rPr>
                <w:rFonts w:ascii="Arial" w:hAnsi="Arial" w:cs="Arial"/>
                <w:sz w:val="24"/>
                <w:szCs w:val="24"/>
              </w:rPr>
              <w:t xml:space="preserve">windfall sites that have been permitted </w:t>
            </w:r>
            <w:r w:rsidR="00060199" w:rsidRPr="00327495">
              <w:rPr>
                <w:rFonts w:ascii="Arial" w:hAnsi="Arial" w:cs="Arial"/>
                <w:sz w:val="24"/>
                <w:szCs w:val="24"/>
              </w:rPr>
              <w:t xml:space="preserve">over the last 10 year and </w:t>
            </w:r>
            <w:r w:rsidR="00256329">
              <w:rPr>
                <w:rFonts w:ascii="Arial" w:hAnsi="Arial" w:cs="Arial"/>
                <w:sz w:val="24"/>
                <w:szCs w:val="24"/>
              </w:rPr>
              <w:t xml:space="preserve">specify </w:t>
            </w:r>
            <w:r w:rsidR="00060199" w:rsidRPr="00327495">
              <w:rPr>
                <w:rFonts w:ascii="Arial" w:hAnsi="Arial" w:cs="Arial"/>
                <w:sz w:val="24"/>
                <w:szCs w:val="24"/>
              </w:rPr>
              <w:t>which were reclassified</w:t>
            </w:r>
            <w:r w:rsidR="00327495">
              <w:rPr>
                <w:rFonts w:ascii="Arial" w:hAnsi="Arial" w:cs="Arial"/>
                <w:sz w:val="24"/>
                <w:szCs w:val="24"/>
              </w:rPr>
              <w:t xml:space="preserve"> </w:t>
            </w:r>
            <w:r w:rsidR="002D528C">
              <w:rPr>
                <w:rFonts w:ascii="Arial" w:hAnsi="Arial" w:cs="Arial"/>
                <w:sz w:val="24"/>
                <w:szCs w:val="24"/>
              </w:rPr>
              <w:t>as commitments.</w:t>
            </w:r>
          </w:p>
        </w:tc>
        <w:tc>
          <w:tcPr>
            <w:tcW w:w="2642" w:type="dxa"/>
          </w:tcPr>
          <w:p w14:paraId="5180EEBE" w14:textId="1103B83E" w:rsidR="000F3DEB" w:rsidRPr="00AA6476" w:rsidRDefault="00A11A92">
            <w:pPr>
              <w:rPr>
                <w:rFonts w:ascii="Arial" w:hAnsi="Arial" w:cs="Arial"/>
                <w:sz w:val="24"/>
                <w:szCs w:val="24"/>
              </w:rPr>
            </w:pPr>
            <w:r>
              <w:rPr>
                <w:rFonts w:ascii="Arial" w:hAnsi="Arial" w:cs="Arial"/>
                <w:sz w:val="24"/>
                <w:szCs w:val="24"/>
              </w:rPr>
              <w:t>21 November 2024</w:t>
            </w:r>
          </w:p>
        </w:tc>
      </w:tr>
      <w:tr w:rsidR="000F3DEB" w14:paraId="687EB83D" w14:textId="77777777">
        <w:tc>
          <w:tcPr>
            <w:tcW w:w="6374" w:type="dxa"/>
          </w:tcPr>
          <w:p w14:paraId="44D884FD" w14:textId="40051975" w:rsidR="00091E7D" w:rsidRPr="00243755" w:rsidRDefault="00CA2AC1" w:rsidP="00091E7D">
            <w:pPr>
              <w:contextualSpacing/>
              <w:rPr>
                <w:rFonts w:ascii="Arial" w:hAnsi="Arial" w:cs="Arial"/>
                <w:sz w:val="24"/>
                <w:szCs w:val="24"/>
              </w:rPr>
            </w:pPr>
            <w:r w:rsidRPr="00CA2AC1">
              <w:rPr>
                <w:rFonts w:ascii="Arial" w:hAnsi="Arial" w:cs="Arial"/>
                <w:b/>
                <w:bCs/>
                <w:sz w:val="24"/>
                <w:szCs w:val="24"/>
              </w:rPr>
              <w:t>AP2/</w:t>
            </w:r>
            <w:r w:rsidR="00284CC0">
              <w:rPr>
                <w:rFonts w:ascii="Arial" w:hAnsi="Arial" w:cs="Arial"/>
                <w:b/>
                <w:bCs/>
                <w:sz w:val="24"/>
                <w:szCs w:val="24"/>
              </w:rPr>
              <w:t>3</w:t>
            </w:r>
            <w:r w:rsidRPr="00CA2AC1">
              <w:rPr>
                <w:rFonts w:ascii="Arial" w:hAnsi="Arial" w:cs="Arial"/>
                <w:b/>
                <w:bCs/>
                <w:sz w:val="24"/>
                <w:szCs w:val="24"/>
              </w:rPr>
              <w:t xml:space="preserve"> -</w:t>
            </w:r>
            <w:r w:rsidR="00C20F23">
              <w:rPr>
                <w:rFonts w:ascii="Arial" w:hAnsi="Arial" w:cs="Arial"/>
                <w:b/>
                <w:bCs/>
                <w:sz w:val="24"/>
                <w:szCs w:val="24"/>
              </w:rPr>
              <w:t xml:space="preserve"> </w:t>
            </w:r>
            <w:r w:rsidR="002D528C" w:rsidRPr="004F0617">
              <w:rPr>
                <w:rFonts w:ascii="Arial" w:hAnsi="Arial" w:cs="Arial"/>
                <w:sz w:val="24"/>
                <w:szCs w:val="24"/>
              </w:rPr>
              <w:t xml:space="preserve">Council to provide a list of committed </w:t>
            </w:r>
            <w:r w:rsidR="00256329" w:rsidRPr="004F0617">
              <w:rPr>
                <w:rFonts w:ascii="Arial" w:hAnsi="Arial" w:cs="Arial"/>
                <w:sz w:val="24"/>
                <w:szCs w:val="24"/>
              </w:rPr>
              <w:t>sites</w:t>
            </w:r>
            <w:r w:rsidR="00123D92" w:rsidRPr="004F0617">
              <w:rPr>
                <w:rFonts w:ascii="Arial" w:hAnsi="Arial" w:cs="Arial"/>
                <w:sz w:val="24"/>
                <w:szCs w:val="24"/>
              </w:rPr>
              <w:t xml:space="preserve"> included in the housing supply and details of those sites which </w:t>
            </w:r>
            <w:r w:rsidR="0027426E">
              <w:rPr>
                <w:rFonts w:ascii="Arial" w:hAnsi="Arial" w:cs="Arial"/>
                <w:sz w:val="24"/>
                <w:szCs w:val="24"/>
              </w:rPr>
              <w:t>are not included in the supply.</w:t>
            </w:r>
          </w:p>
        </w:tc>
        <w:tc>
          <w:tcPr>
            <w:tcW w:w="2642" w:type="dxa"/>
          </w:tcPr>
          <w:p w14:paraId="4172B461" w14:textId="56BFEB5A" w:rsidR="000F3DEB" w:rsidRPr="00AA6476" w:rsidRDefault="00A11A92">
            <w:pPr>
              <w:rPr>
                <w:rFonts w:ascii="Arial" w:hAnsi="Arial" w:cs="Arial"/>
                <w:sz w:val="24"/>
                <w:szCs w:val="24"/>
              </w:rPr>
            </w:pPr>
            <w:r>
              <w:rPr>
                <w:rFonts w:ascii="Arial" w:hAnsi="Arial" w:cs="Arial"/>
                <w:sz w:val="24"/>
                <w:szCs w:val="24"/>
              </w:rPr>
              <w:t>21 November 2024</w:t>
            </w:r>
          </w:p>
        </w:tc>
      </w:tr>
      <w:tr w:rsidR="00F92780" w14:paraId="4851419E" w14:textId="77777777" w:rsidTr="00F92780">
        <w:tc>
          <w:tcPr>
            <w:tcW w:w="6374" w:type="dxa"/>
          </w:tcPr>
          <w:p w14:paraId="1BCDF94F" w14:textId="2A80F7D9" w:rsidR="00091E7D" w:rsidRPr="00AA6476" w:rsidRDefault="00CA2AC1" w:rsidP="004F5056">
            <w:pPr>
              <w:contextualSpacing/>
              <w:rPr>
                <w:rFonts w:ascii="Arial" w:hAnsi="Arial" w:cs="Arial"/>
                <w:sz w:val="24"/>
                <w:szCs w:val="24"/>
              </w:rPr>
            </w:pPr>
            <w:r w:rsidRPr="00CA2AC1">
              <w:rPr>
                <w:rFonts w:ascii="Arial" w:hAnsi="Arial" w:cs="Arial"/>
                <w:b/>
                <w:bCs/>
                <w:sz w:val="24"/>
                <w:szCs w:val="24"/>
              </w:rPr>
              <w:t>AP2/</w:t>
            </w:r>
            <w:r w:rsidR="00284CC0">
              <w:rPr>
                <w:rFonts w:ascii="Arial" w:hAnsi="Arial" w:cs="Arial"/>
                <w:b/>
                <w:bCs/>
                <w:sz w:val="24"/>
                <w:szCs w:val="24"/>
              </w:rPr>
              <w:t>4</w:t>
            </w:r>
            <w:r w:rsidRPr="00CA2AC1">
              <w:rPr>
                <w:rFonts w:ascii="Arial" w:hAnsi="Arial" w:cs="Arial"/>
                <w:b/>
                <w:bCs/>
                <w:sz w:val="24"/>
                <w:szCs w:val="24"/>
              </w:rPr>
              <w:t xml:space="preserve"> -</w:t>
            </w:r>
            <w:r w:rsidR="00C20F23">
              <w:rPr>
                <w:rFonts w:ascii="Arial" w:hAnsi="Arial" w:cs="Arial"/>
                <w:b/>
                <w:bCs/>
                <w:sz w:val="24"/>
                <w:szCs w:val="24"/>
              </w:rPr>
              <w:t xml:space="preserve"> </w:t>
            </w:r>
            <w:r w:rsidR="00E400BD" w:rsidRPr="00884207">
              <w:rPr>
                <w:rFonts w:ascii="Arial" w:hAnsi="Arial" w:cs="Arial"/>
                <w:sz w:val="24"/>
                <w:szCs w:val="24"/>
              </w:rPr>
              <w:t xml:space="preserve">Amend Policy HOM1 to </w:t>
            </w:r>
            <w:r w:rsidR="006E51B2" w:rsidRPr="00884207">
              <w:rPr>
                <w:rFonts w:ascii="Arial" w:hAnsi="Arial" w:cs="Arial"/>
                <w:sz w:val="24"/>
                <w:szCs w:val="24"/>
              </w:rPr>
              <w:t>differentiate between sites are allocations and which are committed</w:t>
            </w:r>
            <w:r w:rsidR="00792A19" w:rsidRPr="00884207">
              <w:rPr>
                <w:rFonts w:ascii="Arial" w:hAnsi="Arial" w:cs="Arial"/>
                <w:sz w:val="24"/>
                <w:szCs w:val="24"/>
              </w:rPr>
              <w:t>.</w:t>
            </w:r>
          </w:p>
        </w:tc>
        <w:tc>
          <w:tcPr>
            <w:tcW w:w="2642" w:type="dxa"/>
          </w:tcPr>
          <w:p w14:paraId="47E21BCC" w14:textId="1BB4CAD1" w:rsidR="00F92780" w:rsidRPr="00AA6476" w:rsidRDefault="00A11A92" w:rsidP="00A06F07">
            <w:pPr>
              <w:rPr>
                <w:rFonts w:ascii="Arial" w:hAnsi="Arial" w:cs="Arial"/>
                <w:sz w:val="24"/>
                <w:szCs w:val="24"/>
              </w:rPr>
            </w:pPr>
            <w:r>
              <w:rPr>
                <w:rFonts w:ascii="Arial" w:hAnsi="Arial" w:cs="Arial"/>
                <w:sz w:val="24"/>
                <w:szCs w:val="24"/>
              </w:rPr>
              <w:t>21 November 2024</w:t>
            </w:r>
          </w:p>
        </w:tc>
      </w:tr>
      <w:tr w:rsidR="001B6C77" w14:paraId="582727A8" w14:textId="77777777" w:rsidTr="00F92780">
        <w:tc>
          <w:tcPr>
            <w:tcW w:w="6374" w:type="dxa"/>
          </w:tcPr>
          <w:p w14:paraId="3B0AD69B" w14:textId="20FFCE94" w:rsidR="001B6C77" w:rsidRPr="00CA2AC1" w:rsidRDefault="001B6C77" w:rsidP="001B6C77">
            <w:pPr>
              <w:rPr>
                <w:rFonts w:ascii="Arial" w:hAnsi="Arial" w:cs="Arial"/>
                <w:b/>
                <w:bCs/>
                <w:sz w:val="24"/>
                <w:szCs w:val="24"/>
              </w:rPr>
            </w:pPr>
            <w:r>
              <w:rPr>
                <w:rFonts w:ascii="Arial" w:hAnsi="Arial" w:cs="Arial"/>
                <w:b/>
                <w:bCs/>
                <w:sz w:val="24"/>
                <w:szCs w:val="24"/>
              </w:rPr>
              <w:t xml:space="preserve">AP2/5 - </w:t>
            </w:r>
            <w:r w:rsidRPr="00A85476">
              <w:rPr>
                <w:rFonts w:ascii="Arial" w:hAnsi="Arial" w:cs="Arial"/>
                <w:sz w:val="24"/>
                <w:szCs w:val="24"/>
              </w:rPr>
              <w:t>A</w:t>
            </w:r>
            <w:r>
              <w:rPr>
                <w:rFonts w:ascii="Arial" w:hAnsi="Arial" w:cs="Arial"/>
                <w:sz w:val="24"/>
                <w:szCs w:val="24"/>
              </w:rPr>
              <w:t xml:space="preserve">dd </w:t>
            </w:r>
            <w:r w:rsidRPr="00D26D54">
              <w:rPr>
                <w:rFonts w:ascii="Arial" w:hAnsi="Arial" w:cs="Arial"/>
                <w:sz w:val="24"/>
                <w:szCs w:val="24"/>
              </w:rPr>
              <w:t xml:space="preserve">a schedule in the appendix which provides details of </w:t>
            </w:r>
            <w:r>
              <w:rPr>
                <w:rFonts w:ascii="Arial" w:hAnsi="Arial" w:cs="Arial"/>
                <w:sz w:val="24"/>
                <w:szCs w:val="24"/>
              </w:rPr>
              <w:t xml:space="preserve">the housing allocations, phasing requirements, constraints </w:t>
            </w:r>
            <w:r w:rsidRPr="00D26D54">
              <w:rPr>
                <w:rFonts w:ascii="Arial" w:hAnsi="Arial" w:cs="Arial"/>
                <w:sz w:val="24"/>
                <w:szCs w:val="24"/>
              </w:rPr>
              <w:t>Infrastructure requirements and planning obligations.</w:t>
            </w:r>
          </w:p>
        </w:tc>
        <w:tc>
          <w:tcPr>
            <w:tcW w:w="2642" w:type="dxa"/>
          </w:tcPr>
          <w:p w14:paraId="29D7D585" w14:textId="571F7385" w:rsidR="001B6C77" w:rsidRDefault="001B6C77" w:rsidP="001B6C77">
            <w:pPr>
              <w:rPr>
                <w:rFonts w:ascii="Arial" w:hAnsi="Arial" w:cs="Arial"/>
                <w:sz w:val="24"/>
                <w:szCs w:val="24"/>
              </w:rPr>
            </w:pPr>
            <w:r>
              <w:rPr>
                <w:rFonts w:ascii="Arial" w:hAnsi="Arial" w:cs="Arial"/>
                <w:sz w:val="24"/>
                <w:szCs w:val="24"/>
              </w:rPr>
              <w:t>21 November 2024</w:t>
            </w:r>
          </w:p>
        </w:tc>
      </w:tr>
      <w:tr w:rsidR="001B6C77" w14:paraId="472DD3AB" w14:textId="77777777" w:rsidTr="00F92780">
        <w:tc>
          <w:tcPr>
            <w:tcW w:w="6374" w:type="dxa"/>
          </w:tcPr>
          <w:p w14:paraId="26E90CF0" w14:textId="554E1F77" w:rsidR="001B6C77" w:rsidRPr="00AA6476" w:rsidRDefault="001B6C77" w:rsidP="001B6C77">
            <w:pPr>
              <w:rPr>
                <w:rFonts w:ascii="Arial" w:hAnsi="Arial" w:cs="Arial"/>
                <w:sz w:val="24"/>
                <w:szCs w:val="24"/>
              </w:rPr>
            </w:pPr>
            <w:r w:rsidRPr="00CA2AC1">
              <w:rPr>
                <w:rFonts w:ascii="Arial" w:hAnsi="Arial" w:cs="Arial"/>
                <w:b/>
                <w:bCs/>
                <w:sz w:val="24"/>
                <w:szCs w:val="24"/>
              </w:rPr>
              <w:t>AP2/</w:t>
            </w:r>
            <w:r>
              <w:rPr>
                <w:rFonts w:ascii="Arial" w:hAnsi="Arial" w:cs="Arial"/>
                <w:b/>
                <w:bCs/>
                <w:sz w:val="24"/>
                <w:szCs w:val="24"/>
              </w:rPr>
              <w:t>6</w:t>
            </w:r>
            <w:r w:rsidRPr="00CA2AC1">
              <w:rPr>
                <w:rFonts w:ascii="Arial" w:hAnsi="Arial" w:cs="Arial"/>
                <w:b/>
                <w:bCs/>
                <w:sz w:val="24"/>
                <w:szCs w:val="24"/>
              </w:rPr>
              <w:t xml:space="preserve"> </w:t>
            </w:r>
            <w:r w:rsidRPr="00861981">
              <w:rPr>
                <w:rFonts w:ascii="Arial" w:hAnsi="Arial" w:cs="Arial"/>
                <w:sz w:val="24"/>
                <w:szCs w:val="24"/>
              </w:rPr>
              <w:t>–</w:t>
            </w:r>
            <w:r>
              <w:rPr>
                <w:rFonts w:ascii="Arial" w:hAnsi="Arial" w:cs="Arial"/>
                <w:b/>
                <w:bCs/>
                <w:sz w:val="24"/>
                <w:szCs w:val="24"/>
              </w:rPr>
              <w:t xml:space="preserve"> </w:t>
            </w:r>
            <w:r w:rsidRPr="007E6415">
              <w:rPr>
                <w:rFonts w:ascii="Arial" w:hAnsi="Arial" w:cs="Arial"/>
                <w:sz w:val="24"/>
                <w:szCs w:val="24"/>
              </w:rPr>
              <w:t>Amend Appendix 7 to include an updated Spatial Distribution Table.</w:t>
            </w:r>
          </w:p>
        </w:tc>
        <w:tc>
          <w:tcPr>
            <w:tcW w:w="2642" w:type="dxa"/>
          </w:tcPr>
          <w:p w14:paraId="55A21C8B" w14:textId="431BC8DD" w:rsidR="001B6C77" w:rsidRPr="00AA6476" w:rsidRDefault="001B6C77" w:rsidP="001B6C77">
            <w:pPr>
              <w:rPr>
                <w:rFonts w:ascii="Arial" w:hAnsi="Arial" w:cs="Arial"/>
                <w:sz w:val="24"/>
                <w:szCs w:val="24"/>
              </w:rPr>
            </w:pPr>
            <w:r>
              <w:rPr>
                <w:rFonts w:ascii="Arial" w:hAnsi="Arial" w:cs="Arial"/>
                <w:sz w:val="24"/>
                <w:szCs w:val="24"/>
              </w:rPr>
              <w:t>21 November 2024</w:t>
            </w:r>
          </w:p>
        </w:tc>
      </w:tr>
      <w:tr w:rsidR="001B6C77" w14:paraId="67714911" w14:textId="77777777" w:rsidTr="00F92780">
        <w:tc>
          <w:tcPr>
            <w:tcW w:w="6374" w:type="dxa"/>
          </w:tcPr>
          <w:p w14:paraId="50B5A821" w14:textId="233F9E02" w:rsidR="001B6C77" w:rsidRPr="00AA6476" w:rsidRDefault="001B6C77" w:rsidP="001B6C77">
            <w:pPr>
              <w:contextualSpacing/>
              <w:rPr>
                <w:rFonts w:ascii="Arial" w:hAnsi="Arial" w:cs="Arial"/>
                <w:sz w:val="24"/>
                <w:szCs w:val="24"/>
              </w:rPr>
            </w:pPr>
            <w:r w:rsidRPr="00CA2AC1">
              <w:rPr>
                <w:rFonts w:ascii="Arial" w:hAnsi="Arial" w:cs="Arial"/>
                <w:b/>
                <w:bCs/>
                <w:sz w:val="24"/>
                <w:szCs w:val="24"/>
              </w:rPr>
              <w:t>AP2/</w:t>
            </w:r>
            <w:r>
              <w:rPr>
                <w:rFonts w:ascii="Arial" w:hAnsi="Arial" w:cs="Arial"/>
                <w:b/>
                <w:bCs/>
                <w:sz w:val="24"/>
                <w:szCs w:val="24"/>
              </w:rPr>
              <w:t>7</w:t>
            </w:r>
            <w:r w:rsidRPr="00CA2AC1">
              <w:rPr>
                <w:rFonts w:ascii="Arial" w:hAnsi="Arial" w:cs="Arial"/>
                <w:b/>
                <w:bCs/>
                <w:sz w:val="24"/>
                <w:szCs w:val="24"/>
              </w:rPr>
              <w:t xml:space="preserve"> </w:t>
            </w:r>
            <w:r w:rsidRPr="00861981">
              <w:rPr>
                <w:rFonts w:ascii="Arial" w:hAnsi="Arial" w:cs="Arial"/>
                <w:sz w:val="24"/>
                <w:szCs w:val="24"/>
              </w:rPr>
              <w:t xml:space="preserve">– </w:t>
            </w:r>
            <w:r w:rsidRPr="00B80AA9">
              <w:rPr>
                <w:rFonts w:ascii="Arial" w:hAnsi="Arial" w:cs="Arial"/>
                <w:sz w:val="24"/>
                <w:szCs w:val="24"/>
              </w:rPr>
              <w:t xml:space="preserve">Amend Policy HOM2 to </w:t>
            </w:r>
            <w:r w:rsidR="00256329" w:rsidRPr="00B80AA9">
              <w:rPr>
                <w:rFonts w:ascii="Arial" w:hAnsi="Arial" w:cs="Arial"/>
                <w:sz w:val="24"/>
                <w:szCs w:val="24"/>
              </w:rPr>
              <w:t>refer</w:t>
            </w:r>
            <w:r w:rsidRPr="00B80AA9">
              <w:rPr>
                <w:rFonts w:ascii="Arial" w:hAnsi="Arial" w:cs="Arial"/>
                <w:sz w:val="24"/>
                <w:szCs w:val="24"/>
              </w:rPr>
              <w:t xml:space="preserve"> to Policy PSD1.</w:t>
            </w:r>
          </w:p>
        </w:tc>
        <w:tc>
          <w:tcPr>
            <w:tcW w:w="2642" w:type="dxa"/>
          </w:tcPr>
          <w:p w14:paraId="63FFCD3B" w14:textId="1BF5A66C" w:rsidR="001B6C77" w:rsidRPr="00AA6476" w:rsidRDefault="001B6C77" w:rsidP="001B6C77">
            <w:pPr>
              <w:rPr>
                <w:rFonts w:ascii="Arial" w:hAnsi="Arial" w:cs="Arial"/>
                <w:sz w:val="24"/>
                <w:szCs w:val="24"/>
              </w:rPr>
            </w:pPr>
            <w:r>
              <w:rPr>
                <w:rFonts w:ascii="Arial" w:hAnsi="Arial" w:cs="Arial"/>
                <w:sz w:val="24"/>
                <w:szCs w:val="24"/>
              </w:rPr>
              <w:t>21 November 2024</w:t>
            </w:r>
          </w:p>
        </w:tc>
      </w:tr>
      <w:tr w:rsidR="001B6C77" w14:paraId="097C02A2" w14:textId="77777777" w:rsidTr="00CA2AC1">
        <w:tc>
          <w:tcPr>
            <w:tcW w:w="6374" w:type="dxa"/>
          </w:tcPr>
          <w:p w14:paraId="1D955630" w14:textId="3D01B686" w:rsidR="001B6C77" w:rsidRPr="00CA2AC1" w:rsidRDefault="001B6C77" w:rsidP="001B6C77">
            <w:pPr>
              <w:contextualSpacing/>
              <w:rPr>
                <w:rFonts w:ascii="Arial" w:hAnsi="Arial" w:cs="Arial"/>
                <w:b/>
                <w:bCs/>
                <w:sz w:val="24"/>
                <w:szCs w:val="24"/>
              </w:rPr>
            </w:pPr>
            <w:r w:rsidRPr="00CA2AC1">
              <w:rPr>
                <w:rFonts w:ascii="Arial" w:hAnsi="Arial" w:cs="Arial"/>
                <w:b/>
                <w:bCs/>
                <w:sz w:val="24"/>
                <w:szCs w:val="24"/>
              </w:rPr>
              <w:t>AP2/</w:t>
            </w:r>
            <w:r>
              <w:rPr>
                <w:rFonts w:ascii="Arial" w:hAnsi="Arial" w:cs="Arial"/>
                <w:b/>
                <w:bCs/>
                <w:sz w:val="24"/>
                <w:szCs w:val="24"/>
              </w:rPr>
              <w:t>8</w:t>
            </w:r>
            <w:r w:rsidRPr="00CA2AC1">
              <w:rPr>
                <w:rFonts w:ascii="Arial" w:hAnsi="Arial" w:cs="Arial"/>
                <w:b/>
                <w:bCs/>
                <w:sz w:val="24"/>
                <w:szCs w:val="24"/>
              </w:rPr>
              <w:t xml:space="preserve"> </w:t>
            </w:r>
            <w:r w:rsidRPr="00861981">
              <w:rPr>
                <w:rFonts w:ascii="Arial" w:hAnsi="Arial" w:cs="Arial"/>
                <w:sz w:val="24"/>
                <w:szCs w:val="24"/>
              </w:rPr>
              <w:t>–</w:t>
            </w:r>
            <w:r w:rsidRPr="00CA2AC1">
              <w:rPr>
                <w:rFonts w:ascii="Arial" w:hAnsi="Arial" w:cs="Arial"/>
                <w:b/>
                <w:bCs/>
                <w:sz w:val="24"/>
                <w:szCs w:val="24"/>
              </w:rPr>
              <w:t xml:space="preserve"> </w:t>
            </w:r>
            <w:r w:rsidRPr="00DB78A2">
              <w:rPr>
                <w:rFonts w:ascii="Arial" w:hAnsi="Arial" w:cs="Arial"/>
                <w:sz w:val="24"/>
                <w:szCs w:val="24"/>
              </w:rPr>
              <w:t xml:space="preserve">Amend Policy HOM3 to make clear that it applies to Tier 4 settlements and relocate the </w:t>
            </w:r>
            <w:r w:rsidR="001B1AC0">
              <w:rPr>
                <w:rFonts w:ascii="Arial" w:hAnsi="Arial" w:cs="Arial"/>
                <w:sz w:val="24"/>
                <w:szCs w:val="24"/>
              </w:rPr>
              <w:t>third</w:t>
            </w:r>
            <w:r w:rsidRPr="00DB78A2">
              <w:rPr>
                <w:rFonts w:ascii="Arial" w:hAnsi="Arial" w:cs="Arial"/>
                <w:sz w:val="24"/>
                <w:szCs w:val="24"/>
              </w:rPr>
              <w:t xml:space="preserve"> sentence which begins ‘</w:t>
            </w:r>
            <w:r w:rsidRPr="001B1AC0">
              <w:rPr>
                <w:rFonts w:ascii="Arial" w:hAnsi="Arial" w:cs="Arial"/>
                <w:i/>
                <w:iCs/>
                <w:sz w:val="24"/>
                <w:szCs w:val="24"/>
              </w:rPr>
              <w:t>Reference made to the guidance…</w:t>
            </w:r>
            <w:r w:rsidRPr="00DB78A2">
              <w:rPr>
                <w:rFonts w:ascii="Arial" w:hAnsi="Arial" w:cs="Arial"/>
                <w:sz w:val="24"/>
                <w:szCs w:val="24"/>
              </w:rPr>
              <w:t>’ to the reasoned justification. In addition, the Council is asked to provide a briefing note which explains how the 10% cap has been derived or suggest alternative wording of the policy.</w:t>
            </w:r>
          </w:p>
        </w:tc>
        <w:tc>
          <w:tcPr>
            <w:tcW w:w="2642" w:type="dxa"/>
          </w:tcPr>
          <w:p w14:paraId="05181F78" w14:textId="39FE326F" w:rsidR="001B6C77" w:rsidRPr="00AA6476" w:rsidRDefault="001B6C77" w:rsidP="001B6C77">
            <w:pPr>
              <w:rPr>
                <w:rFonts w:ascii="Arial" w:hAnsi="Arial" w:cs="Arial"/>
                <w:sz w:val="24"/>
                <w:szCs w:val="24"/>
              </w:rPr>
            </w:pPr>
            <w:r>
              <w:rPr>
                <w:rFonts w:ascii="Arial" w:hAnsi="Arial" w:cs="Arial"/>
                <w:sz w:val="24"/>
                <w:szCs w:val="24"/>
              </w:rPr>
              <w:t>21 November 2024</w:t>
            </w:r>
          </w:p>
        </w:tc>
      </w:tr>
      <w:tr w:rsidR="001B6C77" w14:paraId="106E42EB" w14:textId="77777777" w:rsidTr="00CA2AC1">
        <w:tc>
          <w:tcPr>
            <w:tcW w:w="6374" w:type="dxa"/>
          </w:tcPr>
          <w:p w14:paraId="757DB1A0" w14:textId="7171B587" w:rsidR="001B6C77" w:rsidRPr="00243755" w:rsidRDefault="001B6C77" w:rsidP="001B6C77">
            <w:pPr>
              <w:rPr>
                <w:rFonts w:ascii="Arial" w:hAnsi="Arial" w:cs="Arial"/>
                <w:sz w:val="24"/>
                <w:szCs w:val="24"/>
              </w:rPr>
            </w:pPr>
            <w:r w:rsidRPr="00CA2AC1">
              <w:rPr>
                <w:rFonts w:ascii="Arial" w:hAnsi="Arial" w:cs="Arial"/>
                <w:b/>
                <w:bCs/>
                <w:sz w:val="24"/>
                <w:szCs w:val="24"/>
              </w:rPr>
              <w:t>AP2/</w:t>
            </w:r>
            <w:r>
              <w:rPr>
                <w:rFonts w:ascii="Arial" w:hAnsi="Arial" w:cs="Arial"/>
                <w:b/>
                <w:bCs/>
                <w:sz w:val="24"/>
                <w:szCs w:val="24"/>
              </w:rPr>
              <w:t>9</w:t>
            </w:r>
            <w:r w:rsidRPr="00CA2AC1">
              <w:rPr>
                <w:rFonts w:ascii="Arial" w:hAnsi="Arial" w:cs="Arial"/>
                <w:b/>
                <w:bCs/>
                <w:sz w:val="24"/>
                <w:szCs w:val="24"/>
              </w:rPr>
              <w:t xml:space="preserve"> </w:t>
            </w:r>
            <w:r w:rsidRPr="00861981">
              <w:rPr>
                <w:rFonts w:ascii="Arial" w:hAnsi="Arial" w:cs="Arial"/>
                <w:sz w:val="24"/>
                <w:szCs w:val="24"/>
              </w:rPr>
              <w:t>–</w:t>
            </w:r>
            <w:r>
              <w:rPr>
                <w:rFonts w:ascii="Arial" w:hAnsi="Arial" w:cs="Arial"/>
                <w:b/>
                <w:bCs/>
                <w:sz w:val="24"/>
                <w:szCs w:val="24"/>
              </w:rPr>
              <w:t xml:space="preserve"> </w:t>
            </w:r>
            <w:r w:rsidRPr="006F0A25">
              <w:rPr>
                <w:rFonts w:ascii="Arial" w:hAnsi="Arial" w:cs="Arial"/>
                <w:sz w:val="24"/>
                <w:szCs w:val="24"/>
              </w:rPr>
              <w:t>Amend the Plan to include a housing density policy</w:t>
            </w:r>
            <w:r>
              <w:rPr>
                <w:rFonts w:ascii="Arial" w:hAnsi="Arial" w:cs="Arial"/>
                <w:sz w:val="24"/>
                <w:szCs w:val="24"/>
              </w:rPr>
              <w:t>.</w:t>
            </w:r>
          </w:p>
        </w:tc>
        <w:tc>
          <w:tcPr>
            <w:tcW w:w="2642" w:type="dxa"/>
          </w:tcPr>
          <w:p w14:paraId="721450D7" w14:textId="67E1A4D0" w:rsidR="001B6C77" w:rsidRPr="00AA6476" w:rsidRDefault="001B6C77" w:rsidP="001B6C77">
            <w:pPr>
              <w:rPr>
                <w:rFonts w:ascii="Arial" w:hAnsi="Arial" w:cs="Arial"/>
                <w:sz w:val="24"/>
                <w:szCs w:val="24"/>
              </w:rPr>
            </w:pPr>
            <w:r>
              <w:rPr>
                <w:rFonts w:ascii="Arial" w:hAnsi="Arial" w:cs="Arial"/>
                <w:sz w:val="24"/>
                <w:szCs w:val="24"/>
              </w:rPr>
              <w:t>21 November 2024</w:t>
            </w:r>
          </w:p>
        </w:tc>
      </w:tr>
      <w:tr w:rsidR="001B6C77" w14:paraId="1EBF3896" w14:textId="77777777" w:rsidTr="00CA2AC1">
        <w:tc>
          <w:tcPr>
            <w:tcW w:w="6374" w:type="dxa"/>
          </w:tcPr>
          <w:p w14:paraId="7109D9C1" w14:textId="177FA975" w:rsidR="001B6C77" w:rsidRPr="00243755" w:rsidRDefault="001B6C77" w:rsidP="001B6C77">
            <w:pPr>
              <w:contextualSpacing/>
              <w:rPr>
                <w:rFonts w:ascii="Arial" w:hAnsi="Arial" w:cs="Arial"/>
                <w:sz w:val="24"/>
                <w:szCs w:val="24"/>
              </w:rPr>
            </w:pPr>
            <w:r w:rsidRPr="00CA2AC1">
              <w:rPr>
                <w:rFonts w:ascii="Arial" w:hAnsi="Arial" w:cs="Arial"/>
                <w:b/>
                <w:bCs/>
                <w:sz w:val="24"/>
                <w:szCs w:val="24"/>
              </w:rPr>
              <w:t>AP2/</w:t>
            </w:r>
            <w:r>
              <w:rPr>
                <w:rFonts w:ascii="Arial" w:hAnsi="Arial" w:cs="Arial"/>
                <w:b/>
                <w:bCs/>
                <w:sz w:val="24"/>
                <w:szCs w:val="24"/>
              </w:rPr>
              <w:t>10</w:t>
            </w:r>
            <w:r w:rsidRPr="00CA2AC1">
              <w:rPr>
                <w:rFonts w:ascii="Arial" w:hAnsi="Arial" w:cs="Arial"/>
                <w:b/>
                <w:bCs/>
                <w:sz w:val="24"/>
                <w:szCs w:val="24"/>
              </w:rPr>
              <w:t xml:space="preserve"> </w:t>
            </w:r>
            <w:r w:rsidRPr="00861981">
              <w:rPr>
                <w:rFonts w:ascii="Arial" w:hAnsi="Arial" w:cs="Arial"/>
                <w:sz w:val="24"/>
                <w:szCs w:val="24"/>
              </w:rPr>
              <w:t xml:space="preserve">– </w:t>
            </w:r>
            <w:r w:rsidRPr="008B773F">
              <w:rPr>
                <w:rFonts w:ascii="Arial" w:hAnsi="Arial" w:cs="Arial"/>
                <w:sz w:val="24"/>
                <w:szCs w:val="24"/>
              </w:rPr>
              <w:t>Amend Policy HOM6 to by the insertion of ‘needed’ before viable in the second paragraph.</w:t>
            </w:r>
          </w:p>
        </w:tc>
        <w:tc>
          <w:tcPr>
            <w:tcW w:w="2642" w:type="dxa"/>
          </w:tcPr>
          <w:p w14:paraId="21F3BDA5" w14:textId="567CAD42" w:rsidR="001B6C77" w:rsidRPr="00AA6476" w:rsidRDefault="001B6C77" w:rsidP="001B6C77">
            <w:pPr>
              <w:rPr>
                <w:rFonts w:ascii="Arial" w:hAnsi="Arial" w:cs="Arial"/>
                <w:sz w:val="24"/>
                <w:szCs w:val="24"/>
              </w:rPr>
            </w:pPr>
            <w:r>
              <w:rPr>
                <w:rFonts w:ascii="Arial" w:hAnsi="Arial" w:cs="Arial"/>
                <w:sz w:val="24"/>
                <w:szCs w:val="24"/>
              </w:rPr>
              <w:t>21 November 2024</w:t>
            </w:r>
          </w:p>
        </w:tc>
      </w:tr>
      <w:tr w:rsidR="001B6C77" w14:paraId="178C2027" w14:textId="77777777" w:rsidTr="00CA2AC1">
        <w:tc>
          <w:tcPr>
            <w:tcW w:w="6374" w:type="dxa"/>
          </w:tcPr>
          <w:p w14:paraId="28EA9D92" w14:textId="3ED06DC0" w:rsidR="001B6C77" w:rsidRPr="00AA6476" w:rsidRDefault="001B6C77" w:rsidP="001B6C77">
            <w:pPr>
              <w:contextualSpacing/>
              <w:rPr>
                <w:rFonts w:ascii="Arial" w:hAnsi="Arial" w:cs="Arial"/>
                <w:sz w:val="24"/>
                <w:szCs w:val="24"/>
              </w:rPr>
            </w:pPr>
            <w:r w:rsidRPr="00CA2AC1">
              <w:rPr>
                <w:rFonts w:ascii="Arial" w:hAnsi="Arial" w:cs="Arial"/>
                <w:b/>
                <w:bCs/>
                <w:sz w:val="24"/>
                <w:szCs w:val="24"/>
              </w:rPr>
              <w:t>AP2/</w:t>
            </w:r>
            <w:r>
              <w:rPr>
                <w:rFonts w:ascii="Arial" w:hAnsi="Arial" w:cs="Arial"/>
                <w:b/>
                <w:bCs/>
                <w:sz w:val="24"/>
                <w:szCs w:val="24"/>
              </w:rPr>
              <w:t>11</w:t>
            </w:r>
            <w:r w:rsidRPr="00CA2AC1">
              <w:rPr>
                <w:rFonts w:ascii="Arial" w:hAnsi="Arial" w:cs="Arial"/>
                <w:b/>
                <w:bCs/>
                <w:sz w:val="24"/>
                <w:szCs w:val="24"/>
              </w:rPr>
              <w:t xml:space="preserve"> </w:t>
            </w:r>
            <w:r w:rsidRPr="00861981">
              <w:rPr>
                <w:rFonts w:ascii="Arial" w:hAnsi="Arial" w:cs="Arial"/>
                <w:sz w:val="24"/>
                <w:szCs w:val="24"/>
              </w:rPr>
              <w:t>– Amend the Plan by the inclusion of a new policy in relation to the protection of community facilities.</w:t>
            </w:r>
          </w:p>
        </w:tc>
        <w:tc>
          <w:tcPr>
            <w:tcW w:w="2642" w:type="dxa"/>
          </w:tcPr>
          <w:p w14:paraId="4BABC407" w14:textId="4B398C7A" w:rsidR="001B6C77" w:rsidRPr="00AA6476" w:rsidRDefault="001B6C77" w:rsidP="001B6C77">
            <w:pPr>
              <w:rPr>
                <w:rFonts w:ascii="Arial" w:hAnsi="Arial" w:cs="Arial"/>
                <w:sz w:val="24"/>
                <w:szCs w:val="24"/>
              </w:rPr>
            </w:pPr>
            <w:r>
              <w:rPr>
                <w:rFonts w:ascii="Arial" w:hAnsi="Arial" w:cs="Arial"/>
                <w:sz w:val="24"/>
                <w:szCs w:val="24"/>
              </w:rPr>
              <w:t>21 November 2024</w:t>
            </w:r>
          </w:p>
        </w:tc>
      </w:tr>
      <w:tr w:rsidR="001B6C77" w14:paraId="15406F48" w14:textId="77777777" w:rsidTr="00CA2AC1">
        <w:tc>
          <w:tcPr>
            <w:tcW w:w="6374" w:type="dxa"/>
          </w:tcPr>
          <w:p w14:paraId="75BA4950" w14:textId="2B672428" w:rsidR="001B6C77" w:rsidRPr="00AA6476" w:rsidRDefault="001B6C77" w:rsidP="001B6C77">
            <w:pPr>
              <w:rPr>
                <w:rFonts w:ascii="Arial" w:hAnsi="Arial" w:cs="Arial"/>
                <w:sz w:val="24"/>
                <w:szCs w:val="24"/>
              </w:rPr>
            </w:pPr>
            <w:r w:rsidRPr="00CA2AC1">
              <w:rPr>
                <w:rFonts w:ascii="Arial" w:hAnsi="Arial" w:cs="Arial"/>
                <w:b/>
                <w:bCs/>
                <w:sz w:val="24"/>
                <w:szCs w:val="24"/>
              </w:rPr>
              <w:t>AP2/1</w:t>
            </w:r>
            <w:r>
              <w:rPr>
                <w:rFonts w:ascii="Arial" w:hAnsi="Arial" w:cs="Arial"/>
                <w:b/>
                <w:bCs/>
                <w:sz w:val="24"/>
                <w:szCs w:val="24"/>
              </w:rPr>
              <w:t>2</w:t>
            </w:r>
            <w:r w:rsidRPr="00CA2AC1">
              <w:rPr>
                <w:rFonts w:ascii="Arial" w:hAnsi="Arial" w:cs="Arial"/>
                <w:b/>
                <w:bCs/>
                <w:sz w:val="24"/>
                <w:szCs w:val="24"/>
              </w:rPr>
              <w:t xml:space="preserve"> </w:t>
            </w:r>
            <w:r w:rsidRPr="001C451E">
              <w:rPr>
                <w:rFonts w:ascii="Arial" w:hAnsi="Arial" w:cs="Arial"/>
                <w:sz w:val="24"/>
                <w:szCs w:val="24"/>
              </w:rPr>
              <w:t xml:space="preserve">– Amend </w:t>
            </w:r>
            <w:r w:rsidR="004545F1">
              <w:rPr>
                <w:rFonts w:ascii="Arial" w:hAnsi="Arial" w:cs="Arial"/>
                <w:sz w:val="24"/>
                <w:szCs w:val="24"/>
              </w:rPr>
              <w:t xml:space="preserve">the </w:t>
            </w:r>
            <w:r w:rsidRPr="001C451E">
              <w:rPr>
                <w:rFonts w:ascii="Arial" w:hAnsi="Arial" w:cs="Arial"/>
                <w:sz w:val="24"/>
                <w:szCs w:val="24"/>
              </w:rPr>
              <w:t xml:space="preserve">Policy INF2 to specify the uses which will be required to submit </w:t>
            </w:r>
            <w:r w:rsidR="00256329" w:rsidRPr="001C451E">
              <w:rPr>
                <w:rFonts w:ascii="Arial" w:hAnsi="Arial" w:cs="Arial"/>
                <w:sz w:val="24"/>
                <w:szCs w:val="24"/>
              </w:rPr>
              <w:t>a</w:t>
            </w:r>
            <w:r w:rsidRPr="001C451E">
              <w:rPr>
                <w:rFonts w:ascii="Arial" w:hAnsi="Arial" w:cs="Arial"/>
                <w:sz w:val="24"/>
                <w:szCs w:val="24"/>
              </w:rPr>
              <w:t xml:space="preserve"> Health Impact Assessment.</w:t>
            </w:r>
          </w:p>
        </w:tc>
        <w:tc>
          <w:tcPr>
            <w:tcW w:w="2642" w:type="dxa"/>
          </w:tcPr>
          <w:p w14:paraId="069B7767" w14:textId="099F9C3D" w:rsidR="001B6C77" w:rsidRPr="00AA6476" w:rsidRDefault="001B6C77" w:rsidP="001B6C77">
            <w:pPr>
              <w:rPr>
                <w:rFonts w:ascii="Arial" w:hAnsi="Arial" w:cs="Arial"/>
                <w:sz w:val="24"/>
                <w:szCs w:val="24"/>
              </w:rPr>
            </w:pPr>
            <w:r>
              <w:rPr>
                <w:rFonts w:ascii="Arial" w:hAnsi="Arial" w:cs="Arial"/>
                <w:sz w:val="24"/>
                <w:szCs w:val="24"/>
              </w:rPr>
              <w:t>21 November 2024</w:t>
            </w:r>
          </w:p>
        </w:tc>
      </w:tr>
      <w:bookmarkEnd w:id="0"/>
      <w:bookmarkEnd w:id="1"/>
    </w:tbl>
    <w:p w14:paraId="606EF58B" w14:textId="77777777" w:rsidR="000F3DEB" w:rsidRDefault="000F3DEB" w:rsidP="000F3DEB">
      <w:pPr>
        <w:rPr>
          <w:rFonts w:ascii="Arial" w:hAnsi="Arial" w:cs="Arial"/>
          <w:sz w:val="24"/>
          <w:szCs w:val="24"/>
          <w:u w:val="single"/>
        </w:rPr>
      </w:pPr>
    </w:p>
    <w:p w14:paraId="642B6B0F" w14:textId="77777777" w:rsidR="00F525BD" w:rsidRDefault="00F525BD" w:rsidP="000F3DEB">
      <w:pPr>
        <w:rPr>
          <w:rFonts w:ascii="Arial" w:hAnsi="Arial" w:cs="Arial"/>
          <w:sz w:val="24"/>
          <w:szCs w:val="24"/>
          <w:u w:val="single"/>
        </w:rPr>
      </w:pPr>
    </w:p>
    <w:p w14:paraId="38D2A45D" w14:textId="77777777" w:rsidR="00F525BD" w:rsidRDefault="00F525BD" w:rsidP="000F3DEB">
      <w:pPr>
        <w:rPr>
          <w:rFonts w:ascii="Arial" w:hAnsi="Arial" w:cs="Arial"/>
          <w:sz w:val="24"/>
          <w:szCs w:val="24"/>
          <w:u w:val="single"/>
        </w:rPr>
      </w:pPr>
    </w:p>
    <w:p w14:paraId="1BCEB93A" w14:textId="77777777" w:rsidR="000F3DEB" w:rsidRPr="00693189" w:rsidRDefault="000F3DEB" w:rsidP="000F3DEB">
      <w:pPr>
        <w:rPr>
          <w:rFonts w:ascii="Arial" w:hAnsi="Arial" w:cs="Arial"/>
          <w:sz w:val="24"/>
          <w:szCs w:val="24"/>
          <w:u w:val="single"/>
        </w:rPr>
      </w:pPr>
      <w:r w:rsidRPr="00693189">
        <w:rPr>
          <w:rFonts w:ascii="Arial" w:hAnsi="Arial" w:cs="Arial"/>
          <w:sz w:val="24"/>
          <w:szCs w:val="24"/>
          <w:u w:val="single"/>
        </w:rPr>
        <w:lastRenderedPageBreak/>
        <w:t>General note on Action Points (APs):</w:t>
      </w:r>
    </w:p>
    <w:p w14:paraId="64A4B6D7" w14:textId="77777777" w:rsidR="000F3DEB" w:rsidRPr="00693189" w:rsidRDefault="000F3DEB" w:rsidP="000F3DEB">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up to date MAC Schedule; this will normally be in advance of the final hearing session.</w:t>
      </w:r>
    </w:p>
    <w:p w14:paraId="1DAD823F" w14:textId="77777777" w:rsidR="00194D20" w:rsidRPr="00404DAC" w:rsidRDefault="00194D20">
      <w:pPr>
        <w:rPr>
          <w:rFonts w:ascii="Arial" w:hAnsi="Arial" w:cs="Arial"/>
          <w:sz w:val="24"/>
          <w:szCs w:val="24"/>
        </w:rPr>
      </w:pPr>
    </w:p>
    <w:sectPr w:rsidR="00194D20"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EB"/>
    <w:rsid w:val="00014CB2"/>
    <w:rsid w:val="00050A63"/>
    <w:rsid w:val="00060199"/>
    <w:rsid w:val="00080124"/>
    <w:rsid w:val="00086A4F"/>
    <w:rsid w:val="00091E7D"/>
    <w:rsid w:val="000B2A68"/>
    <w:rsid w:val="000D2B11"/>
    <w:rsid w:val="000D3313"/>
    <w:rsid w:val="000D5EEE"/>
    <w:rsid w:val="000E20B5"/>
    <w:rsid w:val="000F3DEB"/>
    <w:rsid w:val="00123D92"/>
    <w:rsid w:val="0013370B"/>
    <w:rsid w:val="00170E42"/>
    <w:rsid w:val="00194D20"/>
    <w:rsid w:val="001B1AC0"/>
    <w:rsid w:val="001B6C77"/>
    <w:rsid w:val="001C3582"/>
    <w:rsid w:val="001C451E"/>
    <w:rsid w:val="001D4EE6"/>
    <w:rsid w:val="001E05B8"/>
    <w:rsid w:val="001E0B22"/>
    <w:rsid w:val="001E6F47"/>
    <w:rsid w:val="00243755"/>
    <w:rsid w:val="00256329"/>
    <w:rsid w:val="00266218"/>
    <w:rsid w:val="0027426E"/>
    <w:rsid w:val="00284CC0"/>
    <w:rsid w:val="002A682C"/>
    <w:rsid w:val="002B7C5D"/>
    <w:rsid w:val="002C49DE"/>
    <w:rsid w:val="002C6A7E"/>
    <w:rsid w:val="002D4374"/>
    <w:rsid w:val="002D528C"/>
    <w:rsid w:val="002F07BD"/>
    <w:rsid w:val="002F0978"/>
    <w:rsid w:val="002F7C05"/>
    <w:rsid w:val="00317846"/>
    <w:rsid w:val="00327495"/>
    <w:rsid w:val="003407E5"/>
    <w:rsid w:val="003428AD"/>
    <w:rsid w:val="0034671B"/>
    <w:rsid w:val="00370D99"/>
    <w:rsid w:val="00375E5C"/>
    <w:rsid w:val="00377FA4"/>
    <w:rsid w:val="003A71DE"/>
    <w:rsid w:val="003B6D87"/>
    <w:rsid w:val="003C54EB"/>
    <w:rsid w:val="003D06AC"/>
    <w:rsid w:val="003D24AE"/>
    <w:rsid w:val="003D2CAE"/>
    <w:rsid w:val="003D7D90"/>
    <w:rsid w:val="003E438F"/>
    <w:rsid w:val="003E57C7"/>
    <w:rsid w:val="003E6583"/>
    <w:rsid w:val="003F06A0"/>
    <w:rsid w:val="003F4B4F"/>
    <w:rsid w:val="004035C8"/>
    <w:rsid w:val="00404DAC"/>
    <w:rsid w:val="004170D6"/>
    <w:rsid w:val="00446750"/>
    <w:rsid w:val="00446778"/>
    <w:rsid w:val="004545F1"/>
    <w:rsid w:val="00456009"/>
    <w:rsid w:val="0045797B"/>
    <w:rsid w:val="004600F7"/>
    <w:rsid w:val="00460553"/>
    <w:rsid w:val="0046166E"/>
    <w:rsid w:val="00476200"/>
    <w:rsid w:val="004913E9"/>
    <w:rsid w:val="004926F4"/>
    <w:rsid w:val="004F0617"/>
    <w:rsid w:val="004F24AF"/>
    <w:rsid w:val="004F5056"/>
    <w:rsid w:val="0050742D"/>
    <w:rsid w:val="00517BB8"/>
    <w:rsid w:val="00561D36"/>
    <w:rsid w:val="005B4B75"/>
    <w:rsid w:val="005B7762"/>
    <w:rsid w:val="005C1168"/>
    <w:rsid w:val="005C2F92"/>
    <w:rsid w:val="00605B5B"/>
    <w:rsid w:val="00631729"/>
    <w:rsid w:val="00632C21"/>
    <w:rsid w:val="00673D2C"/>
    <w:rsid w:val="006B6609"/>
    <w:rsid w:val="006D5D37"/>
    <w:rsid w:val="006E51B2"/>
    <w:rsid w:val="006F0A25"/>
    <w:rsid w:val="00704676"/>
    <w:rsid w:val="007138A0"/>
    <w:rsid w:val="0072742A"/>
    <w:rsid w:val="007521AD"/>
    <w:rsid w:val="00753C46"/>
    <w:rsid w:val="00777A3A"/>
    <w:rsid w:val="00792A19"/>
    <w:rsid w:val="007B0065"/>
    <w:rsid w:val="007B5F08"/>
    <w:rsid w:val="007D341F"/>
    <w:rsid w:val="007E6415"/>
    <w:rsid w:val="007F5540"/>
    <w:rsid w:val="00817CD5"/>
    <w:rsid w:val="00836F4F"/>
    <w:rsid w:val="00842554"/>
    <w:rsid w:val="008525D1"/>
    <w:rsid w:val="0085354A"/>
    <w:rsid w:val="00854415"/>
    <w:rsid w:val="00861981"/>
    <w:rsid w:val="008720EF"/>
    <w:rsid w:val="00884207"/>
    <w:rsid w:val="0088503C"/>
    <w:rsid w:val="008915D2"/>
    <w:rsid w:val="008B397E"/>
    <w:rsid w:val="008B773F"/>
    <w:rsid w:val="008C3EB2"/>
    <w:rsid w:val="008C46F8"/>
    <w:rsid w:val="008D2F1A"/>
    <w:rsid w:val="00901436"/>
    <w:rsid w:val="009162B3"/>
    <w:rsid w:val="00922693"/>
    <w:rsid w:val="00987CDB"/>
    <w:rsid w:val="009B7098"/>
    <w:rsid w:val="009C00D1"/>
    <w:rsid w:val="009C56C7"/>
    <w:rsid w:val="009F7104"/>
    <w:rsid w:val="00A11A92"/>
    <w:rsid w:val="00A20DCD"/>
    <w:rsid w:val="00A4358A"/>
    <w:rsid w:val="00A53FCA"/>
    <w:rsid w:val="00A54CC4"/>
    <w:rsid w:val="00A553C3"/>
    <w:rsid w:val="00A626B9"/>
    <w:rsid w:val="00A704F9"/>
    <w:rsid w:val="00A85476"/>
    <w:rsid w:val="00AA0225"/>
    <w:rsid w:val="00AB59BB"/>
    <w:rsid w:val="00AB6FEF"/>
    <w:rsid w:val="00AC491A"/>
    <w:rsid w:val="00AC7A79"/>
    <w:rsid w:val="00AF23FC"/>
    <w:rsid w:val="00B00256"/>
    <w:rsid w:val="00B80AA9"/>
    <w:rsid w:val="00B80DCE"/>
    <w:rsid w:val="00B83693"/>
    <w:rsid w:val="00BA05D4"/>
    <w:rsid w:val="00BD71CB"/>
    <w:rsid w:val="00BF2F90"/>
    <w:rsid w:val="00C16CAF"/>
    <w:rsid w:val="00C20F23"/>
    <w:rsid w:val="00C33AD7"/>
    <w:rsid w:val="00C423EB"/>
    <w:rsid w:val="00C84AAE"/>
    <w:rsid w:val="00C973CF"/>
    <w:rsid w:val="00CA2AC1"/>
    <w:rsid w:val="00CB2838"/>
    <w:rsid w:val="00D00431"/>
    <w:rsid w:val="00D06BB7"/>
    <w:rsid w:val="00D1722C"/>
    <w:rsid w:val="00D22C47"/>
    <w:rsid w:val="00D26D54"/>
    <w:rsid w:val="00D332EE"/>
    <w:rsid w:val="00D344A2"/>
    <w:rsid w:val="00D47612"/>
    <w:rsid w:val="00D82224"/>
    <w:rsid w:val="00DB78A2"/>
    <w:rsid w:val="00E051CB"/>
    <w:rsid w:val="00E077DC"/>
    <w:rsid w:val="00E400BD"/>
    <w:rsid w:val="00EC5C3C"/>
    <w:rsid w:val="00EC7C30"/>
    <w:rsid w:val="00ED7711"/>
    <w:rsid w:val="00EF237F"/>
    <w:rsid w:val="00F0068B"/>
    <w:rsid w:val="00F10EE1"/>
    <w:rsid w:val="00F17C2D"/>
    <w:rsid w:val="00F20F40"/>
    <w:rsid w:val="00F27F08"/>
    <w:rsid w:val="00F3642F"/>
    <w:rsid w:val="00F509C0"/>
    <w:rsid w:val="00F525BD"/>
    <w:rsid w:val="00F92780"/>
    <w:rsid w:val="00FA0227"/>
    <w:rsid w:val="00FC02E8"/>
    <w:rsid w:val="00FD29D0"/>
    <w:rsid w:val="00FD50F8"/>
    <w:rsid w:val="00FF6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6094"/>
  <w15:chartTrackingRefBased/>
  <w15:docId w15:val="{07587965-FEF5-4075-BFDB-4A84040A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EB"/>
  </w:style>
  <w:style w:type="paragraph" w:styleId="Heading1">
    <w:name w:val="heading 1"/>
    <w:basedOn w:val="Normal"/>
    <w:next w:val="Normal"/>
    <w:link w:val="Heading1Char"/>
    <w:uiPriority w:val="9"/>
    <w:qFormat/>
    <w:rsid w:val="000F3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DEB"/>
    <w:rPr>
      <w:rFonts w:eastAsiaTheme="majorEastAsia" w:cstheme="majorBidi"/>
      <w:color w:val="272727" w:themeColor="text1" w:themeTint="D8"/>
    </w:rPr>
  </w:style>
  <w:style w:type="paragraph" w:styleId="Title">
    <w:name w:val="Title"/>
    <w:basedOn w:val="Normal"/>
    <w:next w:val="Normal"/>
    <w:link w:val="TitleChar"/>
    <w:uiPriority w:val="10"/>
    <w:qFormat/>
    <w:rsid w:val="000F3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DEB"/>
    <w:pPr>
      <w:spacing w:before="160"/>
      <w:jc w:val="center"/>
    </w:pPr>
    <w:rPr>
      <w:i/>
      <w:iCs/>
      <w:color w:val="404040" w:themeColor="text1" w:themeTint="BF"/>
    </w:rPr>
  </w:style>
  <w:style w:type="character" w:customStyle="1" w:styleId="QuoteChar">
    <w:name w:val="Quote Char"/>
    <w:basedOn w:val="DefaultParagraphFont"/>
    <w:link w:val="Quote"/>
    <w:uiPriority w:val="29"/>
    <w:rsid w:val="000F3DEB"/>
    <w:rPr>
      <w:i/>
      <w:iCs/>
      <w:color w:val="404040" w:themeColor="text1" w:themeTint="BF"/>
    </w:rPr>
  </w:style>
  <w:style w:type="paragraph" w:styleId="ListParagraph">
    <w:name w:val="List Paragraph"/>
    <w:basedOn w:val="Normal"/>
    <w:uiPriority w:val="34"/>
    <w:qFormat/>
    <w:rsid w:val="000F3DEB"/>
    <w:pPr>
      <w:ind w:left="720"/>
      <w:contextualSpacing/>
    </w:pPr>
  </w:style>
  <w:style w:type="character" w:styleId="IntenseEmphasis">
    <w:name w:val="Intense Emphasis"/>
    <w:basedOn w:val="DefaultParagraphFont"/>
    <w:uiPriority w:val="21"/>
    <w:qFormat/>
    <w:rsid w:val="000F3DEB"/>
    <w:rPr>
      <w:i/>
      <w:iCs/>
      <w:color w:val="0F4761" w:themeColor="accent1" w:themeShade="BF"/>
    </w:rPr>
  </w:style>
  <w:style w:type="paragraph" w:styleId="IntenseQuote">
    <w:name w:val="Intense Quote"/>
    <w:basedOn w:val="Normal"/>
    <w:next w:val="Normal"/>
    <w:link w:val="IntenseQuoteChar"/>
    <w:uiPriority w:val="30"/>
    <w:qFormat/>
    <w:rsid w:val="000F3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DEB"/>
    <w:rPr>
      <w:i/>
      <w:iCs/>
      <w:color w:val="0F4761" w:themeColor="accent1" w:themeShade="BF"/>
    </w:rPr>
  </w:style>
  <w:style w:type="character" w:styleId="IntenseReference">
    <w:name w:val="Intense Reference"/>
    <w:basedOn w:val="DefaultParagraphFont"/>
    <w:uiPriority w:val="32"/>
    <w:qFormat/>
    <w:rsid w:val="000F3DEB"/>
    <w:rPr>
      <w:b/>
      <w:bCs/>
      <w:smallCaps/>
      <w:color w:val="0F4761" w:themeColor="accent1" w:themeShade="BF"/>
      <w:spacing w:val="5"/>
    </w:rPr>
  </w:style>
  <w:style w:type="table" w:styleId="TableGrid">
    <w:name w:val="Table Grid"/>
    <w:basedOn w:val="TableNormal"/>
    <w:uiPriority w:val="39"/>
    <w:rsid w:val="000F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 Corinne Sloley</cp:lastModifiedBy>
  <cp:revision>77</cp:revision>
  <dcterms:created xsi:type="dcterms:W3CDTF">2024-10-24T08:38:00Z</dcterms:created>
  <dcterms:modified xsi:type="dcterms:W3CDTF">2024-12-04T11:28:00Z</dcterms:modified>
</cp:coreProperties>
</file>