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AFB0" w14:textId="77777777" w:rsidR="00F92F2F" w:rsidRPr="00815A74" w:rsidRDefault="00F92F2F" w:rsidP="00F92F2F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815A7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CARMARTHENSHIRE</w:t>
      </w:r>
    </w:p>
    <w:p w14:paraId="2C15CD74" w14:textId="77777777" w:rsidR="00F92F2F" w:rsidRPr="00815A74" w:rsidRDefault="00F92F2F" w:rsidP="00F92F2F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815A7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REVISED LOCAL DEVELOPMENT PLAN (2018-2033)</w:t>
      </w:r>
    </w:p>
    <w:p w14:paraId="5B779ECD" w14:textId="77777777" w:rsidR="00F92F2F" w:rsidRPr="00815A74" w:rsidRDefault="00F92F2F" w:rsidP="00F92F2F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815A7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EXAMINATION</w:t>
      </w:r>
    </w:p>
    <w:p w14:paraId="1713F924" w14:textId="77777777" w:rsidR="00F92F2F" w:rsidRPr="00815A74" w:rsidRDefault="00F92F2F" w:rsidP="00F92F2F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815A7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___________________________________________________________________</w:t>
      </w:r>
    </w:p>
    <w:p w14:paraId="7449854F" w14:textId="5E23453E" w:rsidR="00F92F2F" w:rsidRPr="009A6AA3" w:rsidRDefault="008F7244" w:rsidP="00CA6207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t>Monitoring Framework</w:t>
      </w:r>
    </w:p>
    <w:p w14:paraId="280DB0FC" w14:textId="77777777" w:rsidR="00035B33" w:rsidRPr="00F52DA0" w:rsidRDefault="00035B33">
      <w:pPr>
        <w:rPr>
          <w:rFonts w:ascii="Arial" w:hAnsi="Arial" w:cs="Arial"/>
          <w:sz w:val="24"/>
          <w:szCs w:val="24"/>
        </w:rPr>
      </w:pPr>
    </w:p>
    <w:p w14:paraId="74D15E69" w14:textId="1137DDC4" w:rsidR="00F26223" w:rsidRDefault="00F26223" w:rsidP="00035B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reviewed the </w:t>
      </w:r>
      <w:r w:rsidR="009D52AF">
        <w:rPr>
          <w:rFonts w:ascii="Arial" w:hAnsi="Arial" w:cs="Arial"/>
          <w:sz w:val="24"/>
          <w:szCs w:val="24"/>
        </w:rPr>
        <w:t>Carmarthenshire Revised Local Development Plan monitoring framework</w:t>
      </w:r>
      <w:r w:rsidR="009E274A">
        <w:rPr>
          <w:rFonts w:ascii="Arial" w:hAnsi="Arial" w:cs="Arial"/>
          <w:sz w:val="24"/>
          <w:szCs w:val="24"/>
        </w:rPr>
        <w:t>.</w:t>
      </w:r>
      <w:r w:rsidR="00C52A42">
        <w:rPr>
          <w:rFonts w:ascii="Arial" w:hAnsi="Arial" w:cs="Arial"/>
          <w:sz w:val="24"/>
          <w:szCs w:val="24"/>
        </w:rPr>
        <w:t xml:space="preserve"> </w:t>
      </w:r>
      <w:r w:rsidR="009E274A">
        <w:rPr>
          <w:rFonts w:ascii="Arial" w:hAnsi="Arial" w:cs="Arial"/>
          <w:sz w:val="24"/>
          <w:szCs w:val="24"/>
        </w:rPr>
        <w:t>The</w:t>
      </w:r>
      <w:r w:rsidR="00C52A42">
        <w:rPr>
          <w:rFonts w:ascii="Arial" w:hAnsi="Arial" w:cs="Arial"/>
          <w:sz w:val="24"/>
          <w:szCs w:val="24"/>
        </w:rPr>
        <w:t xml:space="preserve"> Council is invited to consider the following questions and suggested changes</w:t>
      </w:r>
      <w:r w:rsidR="00BD4B10">
        <w:rPr>
          <w:rFonts w:ascii="Arial" w:hAnsi="Arial" w:cs="Arial"/>
          <w:sz w:val="24"/>
          <w:szCs w:val="24"/>
        </w:rPr>
        <w:t xml:space="preserve"> to indicators</w:t>
      </w:r>
      <w:r w:rsidR="004B2B12">
        <w:rPr>
          <w:rFonts w:ascii="Arial" w:hAnsi="Arial" w:cs="Arial"/>
          <w:sz w:val="24"/>
          <w:szCs w:val="24"/>
        </w:rPr>
        <w:t>:</w:t>
      </w:r>
    </w:p>
    <w:p w14:paraId="594A05D6" w14:textId="13BA0F8C" w:rsidR="00B21646" w:rsidRDefault="00A9173B" w:rsidP="00BF68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MI.4 </w:t>
      </w:r>
      <w:r w:rsidR="00CE451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1C7D96">
        <w:rPr>
          <w:rFonts w:ascii="Arial" w:hAnsi="Arial" w:cs="Arial"/>
          <w:sz w:val="24"/>
          <w:szCs w:val="24"/>
        </w:rPr>
        <w:t xml:space="preserve">should the indicator </w:t>
      </w:r>
      <w:r w:rsidR="00447747">
        <w:rPr>
          <w:rFonts w:ascii="Arial" w:hAnsi="Arial" w:cs="Arial"/>
          <w:sz w:val="24"/>
          <w:szCs w:val="24"/>
        </w:rPr>
        <w:t>refer</w:t>
      </w:r>
      <w:r w:rsidR="00CE4513">
        <w:rPr>
          <w:rFonts w:ascii="Arial" w:hAnsi="Arial" w:cs="Arial"/>
          <w:sz w:val="24"/>
          <w:szCs w:val="24"/>
        </w:rPr>
        <w:t xml:space="preserve"> to </w:t>
      </w:r>
      <w:r w:rsidR="00CE4513" w:rsidRPr="00CE4513">
        <w:rPr>
          <w:rFonts w:ascii="Arial" w:hAnsi="Arial" w:cs="Arial"/>
          <w:sz w:val="24"/>
          <w:szCs w:val="24"/>
        </w:rPr>
        <w:t xml:space="preserve">‘vacant units of commercial properties’ because it is not just retail unit vacancies </w:t>
      </w:r>
      <w:r w:rsidR="00645108">
        <w:rPr>
          <w:rFonts w:ascii="Arial" w:hAnsi="Arial" w:cs="Arial"/>
          <w:sz w:val="24"/>
          <w:szCs w:val="24"/>
        </w:rPr>
        <w:t xml:space="preserve">that fall </w:t>
      </w:r>
      <w:r w:rsidR="00CE4513" w:rsidRPr="00CE4513">
        <w:rPr>
          <w:rFonts w:ascii="Arial" w:hAnsi="Arial" w:cs="Arial"/>
          <w:sz w:val="24"/>
          <w:szCs w:val="24"/>
        </w:rPr>
        <w:t>within the town centre boundaries</w:t>
      </w:r>
      <w:r w:rsidR="00447747">
        <w:rPr>
          <w:rFonts w:ascii="Arial" w:hAnsi="Arial" w:cs="Arial"/>
          <w:sz w:val="24"/>
          <w:szCs w:val="24"/>
        </w:rPr>
        <w:t>?</w:t>
      </w:r>
    </w:p>
    <w:p w14:paraId="19E8131C" w14:textId="152D854E" w:rsidR="00CE4513" w:rsidRDefault="00CE4513" w:rsidP="00BF68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MI.4 </w:t>
      </w:r>
      <w:r w:rsidR="000C5EC8">
        <w:rPr>
          <w:rFonts w:ascii="Arial" w:hAnsi="Arial" w:cs="Arial"/>
          <w:sz w:val="24"/>
          <w:szCs w:val="24"/>
        </w:rPr>
        <w:t>–</w:t>
      </w:r>
      <w:r w:rsidR="00E34C67">
        <w:rPr>
          <w:rFonts w:ascii="Arial" w:hAnsi="Arial" w:cs="Arial"/>
          <w:sz w:val="24"/>
          <w:szCs w:val="24"/>
        </w:rPr>
        <w:t xml:space="preserve"> should a baseline figure for annual monitoring be included? W</w:t>
      </w:r>
      <w:r w:rsidR="006A2747">
        <w:rPr>
          <w:rFonts w:ascii="Arial" w:hAnsi="Arial" w:cs="Arial"/>
          <w:sz w:val="24"/>
          <w:szCs w:val="24"/>
        </w:rPr>
        <w:t xml:space="preserve">e suggest the vacancy levels in the </w:t>
      </w:r>
      <w:r w:rsidR="006A2747" w:rsidRPr="006A2747">
        <w:rPr>
          <w:rFonts w:ascii="Arial" w:hAnsi="Arial" w:cs="Arial"/>
          <w:sz w:val="24"/>
          <w:szCs w:val="24"/>
        </w:rPr>
        <w:t>Town Centre Retail Audit 2024 [CSD100]</w:t>
      </w:r>
      <w:r w:rsidR="006A2747">
        <w:rPr>
          <w:rFonts w:ascii="Arial" w:hAnsi="Arial" w:cs="Arial"/>
          <w:sz w:val="24"/>
          <w:szCs w:val="24"/>
        </w:rPr>
        <w:t xml:space="preserve"> are used. </w:t>
      </w:r>
      <w:r w:rsidR="00D62B10" w:rsidRPr="00D62B10">
        <w:rPr>
          <w:rFonts w:ascii="Arial" w:hAnsi="Arial" w:cs="Arial"/>
          <w:sz w:val="24"/>
          <w:szCs w:val="24"/>
        </w:rPr>
        <w:t>Rather than cite the 2024 vacancy levels, the report could be included in the ‘Trigger Point’ column</w:t>
      </w:r>
      <w:r w:rsidR="00D62B10">
        <w:rPr>
          <w:rFonts w:ascii="Arial" w:hAnsi="Arial" w:cs="Arial"/>
          <w:sz w:val="24"/>
          <w:szCs w:val="24"/>
        </w:rPr>
        <w:t xml:space="preserve"> and used annually to monitor vacancy level changes. </w:t>
      </w:r>
    </w:p>
    <w:p w14:paraId="1F1ADD57" w14:textId="1C4B9ED0" w:rsidR="0016657C" w:rsidRPr="00A33BBD" w:rsidRDefault="00107F7C" w:rsidP="00A33BB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Several indicators refer to permissions rather than</w:t>
      </w:r>
      <w:r w:rsidR="00A6744E">
        <w:rPr>
          <w:rFonts w:ascii="Arial" w:hAnsi="Arial" w:cs="Arial"/>
          <w:sz w:val="24"/>
          <w:szCs w:val="24"/>
        </w:rPr>
        <w:t xml:space="preserve"> delivery (completions). </w:t>
      </w:r>
      <w:r w:rsidR="00FB6529">
        <w:rPr>
          <w:rFonts w:ascii="Arial" w:hAnsi="Arial" w:cs="Arial"/>
          <w:sz w:val="24"/>
          <w:szCs w:val="24"/>
        </w:rPr>
        <w:t xml:space="preserve">We suggest they are </w:t>
      </w:r>
      <w:r w:rsidR="0016657C">
        <w:rPr>
          <w:rFonts w:ascii="Arial" w:hAnsi="Arial" w:cs="Arial"/>
          <w:sz w:val="24"/>
          <w:szCs w:val="24"/>
        </w:rPr>
        <w:t xml:space="preserve">amended to ‘delivery’ to ensure </w:t>
      </w:r>
      <w:r w:rsidR="00A33BBD">
        <w:rPr>
          <w:rFonts w:ascii="Arial" w:hAnsi="Arial" w:cs="Arial"/>
          <w:sz w:val="24"/>
          <w:szCs w:val="24"/>
        </w:rPr>
        <w:t xml:space="preserve">effective monitoring and </w:t>
      </w:r>
      <w:r w:rsidR="0016657C">
        <w:rPr>
          <w:rFonts w:ascii="Arial" w:hAnsi="Arial" w:cs="Arial"/>
          <w:sz w:val="24"/>
          <w:szCs w:val="24"/>
        </w:rPr>
        <w:t xml:space="preserve">consistency </w:t>
      </w:r>
      <w:r w:rsidR="00D452ED">
        <w:rPr>
          <w:rFonts w:ascii="Arial" w:hAnsi="Arial" w:cs="Arial"/>
          <w:sz w:val="24"/>
          <w:szCs w:val="24"/>
        </w:rPr>
        <w:t>with other</w:t>
      </w:r>
      <w:r w:rsidR="0016657C">
        <w:rPr>
          <w:rFonts w:ascii="Arial" w:hAnsi="Arial" w:cs="Arial"/>
          <w:sz w:val="24"/>
          <w:szCs w:val="24"/>
        </w:rPr>
        <w:t xml:space="preserve"> indicators</w:t>
      </w:r>
      <w:r w:rsidR="00F55FA6">
        <w:rPr>
          <w:rFonts w:ascii="Arial" w:hAnsi="Arial" w:cs="Arial"/>
          <w:sz w:val="24"/>
          <w:szCs w:val="24"/>
        </w:rPr>
        <w:t xml:space="preserve">. </w:t>
      </w:r>
      <w:r w:rsidR="00A33BBD">
        <w:rPr>
          <w:rFonts w:ascii="Arial" w:hAnsi="Arial" w:cs="Arial"/>
          <w:sz w:val="24"/>
          <w:szCs w:val="24"/>
        </w:rPr>
        <w:t>They include</w:t>
      </w:r>
      <w:r w:rsidR="0012320D">
        <w:rPr>
          <w:rFonts w:ascii="Arial" w:hAnsi="Arial" w:cs="Arial"/>
          <w:sz w:val="24"/>
          <w:szCs w:val="24"/>
        </w:rPr>
        <w:t xml:space="preserve"> MI.9, MI.10, MI.18, MI.19, </w:t>
      </w:r>
      <w:r w:rsidR="00F55FA6">
        <w:rPr>
          <w:rFonts w:ascii="Arial" w:hAnsi="Arial" w:cs="Arial"/>
          <w:sz w:val="24"/>
          <w:szCs w:val="24"/>
        </w:rPr>
        <w:t xml:space="preserve">MI.20, </w:t>
      </w:r>
      <w:r w:rsidR="008B0739">
        <w:rPr>
          <w:rFonts w:ascii="Arial" w:hAnsi="Arial" w:cs="Arial"/>
          <w:sz w:val="24"/>
          <w:szCs w:val="24"/>
        </w:rPr>
        <w:t xml:space="preserve">MI.31, </w:t>
      </w:r>
      <w:r w:rsidR="00A33BBD">
        <w:rPr>
          <w:rFonts w:ascii="Arial" w:hAnsi="Arial" w:cs="Arial"/>
          <w:sz w:val="24"/>
          <w:szCs w:val="24"/>
        </w:rPr>
        <w:t xml:space="preserve">and </w:t>
      </w:r>
      <w:r w:rsidR="008B0739">
        <w:rPr>
          <w:rFonts w:ascii="Arial" w:hAnsi="Arial" w:cs="Arial"/>
          <w:sz w:val="24"/>
          <w:szCs w:val="24"/>
        </w:rPr>
        <w:t>MI.32</w:t>
      </w:r>
      <w:r w:rsidR="00A33BBD">
        <w:rPr>
          <w:rFonts w:ascii="Arial" w:hAnsi="Arial" w:cs="Arial"/>
          <w:sz w:val="24"/>
          <w:szCs w:val="24"/>
        </w:rPr>
        <w:t>.</w:t>
      </w:r>
    </w:p>
    <w:p w14:paraId="1A61D8C3" w14:textId="01E35DFF" w:rsidR="000A2593" w:rsidRDefault="000A2593" w:rsidP="00BF68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MI.11 - </w:t>
      </w:r>
      <w:r w:rsidR="009055AB">
        <w:rPr>
          <w:rFonts w:ascii="Arial" w:hAnsi="Arial" w:cs="Arial"/>
          <w:sz w:val="24"/>
          <w:szCs w:val="24"/>
        </w:rPr>
        <w:t>g</w:t>
      </w:r>
      <w:r w:rsidR="009055AB" w:rsidRPr="009055AB">
        <w:rPr>
          <w:rFonts w:ascii="Arial" w:hAnsi="Arial" w:cs="Arial"/>
          <w:sz w:val="24"/>
          <w:szCs w:val="24"/>
        </w:rPr>
        <w:t xml:space="preserve">iven the changes to Policy HOM3, </w:t>
      </w:r>
      <w:r w:rsidR="009055AB">
        <w:rPr>
          <w:rFonts w:ascii="Arial" w:hAnsi="Arial" w:cs="Arial"/>
          <w:sz w:val="24"/>
          <w:szCs w:val="24"/>
        </w:rPr>
        <w:t xml:space="preserve">we suggest amending the indicator </w:t>
      </w:r>
      <w:r w:rsidR="00613CE3">
        <w:rPr>
          <w:rFonts w:ascii="Arial" w:hAnsi="Arial" w:cs="Arial"/>
          <w:sz w:val="24"/>
          <w:szCs w:val="24"/>
        </w:rPr>
        <w:t xml:space="preserve">to refer </w:t>
      </w:r>
      <w:r w:rsidR="009055AB" w:rsidRPr="009055AB">
        <w:rPr>
          <w:rFonts w:ascii="Arial" w:hAnsi="Arial" w:cs="Arial"/>
          <w:sz w:val="24"/>
          <w:szCs w:val="24"/>
        </w:rPr>
        <w:t>to the anticipated delivery of 264 dwellings during the Plan period, as set out in the Appendix 7 table.</w:t>
      </w:r>
    </w:p>
    <w:p w14:paraId="1AE6C3E9" w14:textId="04B8582F" w:rsidR="001B29C2" w:rsidRDefault="001B29C2" w:rsidP="00BF68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MI.21 – </w:t>
      </w:r>
      <w:r w:rsidR="00C2676B">
        <w:rPr>
          <w:rFonts w:ascii="Arial" w:hAnsi="Arial" w:cs="Arial"/>
          <w:sz w:val="24"/>
          <w:szCs w:val="24"/>
        </w:rPr>
        <w:t xml:space="preserve">for clarity, </w:t>
      </w:r>
      <w:r>
        <w:rPr>
          <w:rFonts w:ascii="Arial" w:hAnsi="Arial" w:cs="Arial"/>
          <w:sz w:val="24"/>
          <w:szCs w:val="24"/>
        </w:rPr>
        <w:t>the job growth indicator should refer to a target which we assume based on AP4/1 is 6,652 jobs?</w:t>
      </w:r>
    </w:p>
    <w:p w14:paraId="3D56AA74" w14:textId="5E0CDEA7" w:rsidR="00AF375D" w:rsidRDefault="0049619E" w:rsidP="00BF68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MI.33 </w:t>
      </w:r>
      <w:r w:rsidR="006F37FB">
        <w:rPr>
          <w:rFonts w:ascii="Arial" w:hAnsi="Arial" w:cs="Arial"/>
          <w:sz w:val="24"/>
          <w:szCs w:val="24"/>
        </w:rPr>
        <w:t>–</w:t>
      </w:r>
      <w:r w:rsidR="0082329C">
        <w:rPr>
          <w:rFonts w:ascii="Arial" w:hAnsi="Arial" w:cs="Arial"/>
          <w:sz w:val="24"/>
          <w:szCs w:val="24"/>
        </w:rPr>
        <w:t xml:space="preserve"> s</w:t>
      </w:r>
      <w:r w:rsidR="00135F1B">
        <w:rPr>
          <w:rFonts w:ascii="Arial" w:hAnsi="Arial" w:cs="Arial"/>
          <w:sz w:val="24"/>
          <w:szCs w:val="24"/>
        </w:rPr>
        <w:t>hould the</w:t>
      </w:r>
      <w:r w:rsidR="002C422B">
        <w:rPr>
          <w:rFonts w:ascii="Arial" w:hAnsi="Arial" w:cs="Arial"/>
          <w:sz w:val="24"/>
          <w:szCs w:val="24"/>
        </w:rPr>
        <w:t xml:space="preserve"> target and trigger point </w:t>
      </w:r>
      <w:r w:rsidR="00135F1B">
        <w:rPr>
          <w:rFonts w:ascii="Arial" w:hAnsi="Arial" w:cs="Arial"/>
          <w:sz w:val="24"/>
          <w:szCs w:val="24"/>
        </w:rPr>
        <w:t xml:space="preserve">both refer to </w:t>
      </w:r>
      <w:r w:rsidR="00BF3396">
        <w:rPr>
          <w:rFonts w:ascii="Arial" w:hAnsi="Arial" w:cs="Arial"/>
          <w:sz w:val="24"/>
          <w:szCs w:val="24"/>
        </w:rPr>
        <w:t>‘in the County’</w:t>
      </w:r>
      <w:r w:rsidR="0082329C">
        <w:rPr>
          <w:rFonts w:ascii="Arial" w:hAnsi="Arial" w:cs="Arial"/>
          <w:sz w:val="24"/>
          <w:szCs w:val="24"/>
        </w:rPr>
        <w:t xml:space="preserve"> rather than any settlement, as the need applies county-wide</w:t>
      </w:r>
      <w:r w:rsidR="00135F1B">
        <w:rPr>
          <w:rFonts w:ascii="Arial" w:hAnsi="Arial" w:cs="Arial"/>
          <w:sz w:val="24"/>
          <w:szCs w:val="24"/>
        </w:rPr>
        <w:t>?</w:t>
      </w:r>
    </w:p>
    <w:p w14:paraId="0A763FEF" w14:textId="661427B6" w:rsidR="00BF3396" w:rsidRDefault="005A7F8A" w:rsidP="00BF68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MI.38 </w:t>
      </w:r>
      <w:r w:rsidR="00F4100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F41004">
        <w:rPr>
          <w:rFonts w:ascii="Arial" w:hAnsi="Arial" w:cs="Arial"/>
          <w:sz w:val="24"/>
          <w:szCs w:val="24"/>
        </w:rPr>
        <w:t xml:space="preserve">the indicator is vague. </w:t>
      </w:r>
      <w:r w:rsidR="0029627E" w:rsidRPr="0029627E">
        <w:rPr>
          <w:rFonts w:ascii="Arial" w:hAnsi="Arial" w:cs="Arial"/>
          <w:sz w:val="24"/>
          <w:szCs w:val="24"/>
        </w:rPr>
        <w:t>Should it be more closely worded to Policy PSD3 e.g. ‘provision of GBI in accordance with Policy PSD3’?</w:t>
      </w:r>
    </w:p>
    <w:p w14:paraId="110800D7" w14:textId="7D43453F" w:rsidR="006709A6" w:rsidRDefault="006709A6" w:rsidP="00BF68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MI.43 </w:t>
      </w:r>
      <w:r w:rsidR="00BB0C2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4606E0">
        <w:rPr>
          <w:rFonts w:ascii="Arial" w:hAnsi="Arial" w:cs="Arial"/>
          <w:sz w:val="24"/>
          <w:szCs w:val="24"/>
        </w:rPr>
        <w:t>the target and trigger point (annual vs 4-year monitoring) appear inconsistent. H</w:t>
      </w:r>
      <w:r w:rsidR="00BB0C28">
        <w:rPr>
          <w:rFonts w:ascii="Arial" w:hAnsi="Arial" w:cs="Arial"/>
          <w:sz w:val="24"/>
          <w:szCs w:val="24"/>
        </w:rPr>
        <w:t xml:space="preserve">ow do the Council envisage this indicator working? </w:t>
      </w:r>
    </w:p>
    <w:p w14:paraId="2A4EB1FA" w14:textId="3FC9D241" w:rsidR="00F0143E" w:rsidRDefault="00F0143E" w:rsidP="00BF68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MI.56 </w:t>
      </w:r>
      <w:r w:rsidR="007B59E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7B59EA">
        <w:rPr>
          <w:rFonts w:ascii="Arial" w:hAnsi="Arial" w:cs="Arial"/>
          <w:sz w:val="24"/>
          <w:szCs w:val="24"/>
        </w:rPr>
        <w:t xml:space="preserve">could the Council explain the aim of this indicator – is it monitoring a specific road scheme, or several schemes? Which one(s)? </w:t>
      </w:r>
      <w:r w:rsidR="00931579">
        <w:rPr>
          <w:rFonts w:ascii="Arial" w:hAnsi="Arial" w:cs="Arial"/>
          <w:sz w:val="24"/>
          <w:szCs w:val="24"/>
        </w:rPr>
        <w:t>How does it differ from MI.58?</w:t>
      </w:r>
    </w:p>
    <w:p w14:paraId="0D90CF98" w14:textId="01AE6AE1" w:rsidR="00931579" w:rsidRDefault="00A73DDF" w:rsidP="00BF68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MI.59 and MI.60 </w:t>
      </w:r>
      <w:r w:rsidR="00344D3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344D31">
        <w:rPr>
          <w:rFonts w:ascii="Arial" w:hAnsi="Arial" w:cs="Arial"/>
          <w:sz w:val="24"/>
          <w:szCs w:val="24"/>
        </w:rPr>
        <w:t xml:space="preserve">suggest </w:t>
      </w:r>
      <w:r w:rsidR="00344D31" w:rsidRPr="00344D31">
        <w:rPr>
          <w:rFonts w:ascii="Arial" w:hAnsi="Arial" w:cs="Arial"/>
          <w:sz w:val="24"/>
          <w:szCs w:val="24"/>
        </w:rPr>
        <w:t>add</w:t>
      </w:r>
      <w:r w:rsidR="00344D31">
        <w:rPr>
          <w:rFonts w:ascii="Arial" w:hAnsi="Arial" w:cs="Arial"/>
          <w:sz w:val="24"/>
          <w:szCs w:val="24"/>
        </w:rPr>
        <w:t>ing</w:t>
      </w:r>
      <w:r w:rsidR="00344D31" w:rsidRPr="00344D31">
        <w:rPr>
          <w:rFonts w:ascii="Arial" w:hAnsi="Arial" w:cs="Arial"/>
          <w:sz w:val="24"/>
          <w:szCs w:val="24"/>
        </w:rPr>
        <w:t xml:space="preserve"> ‘in any given year’ to both trigger points</w:t>
      </w:r>
      <w:r w:rsidR="00344D31">
        <w:rPr>
          <w:rFonts w:ascii="Arial" w:hAnsi="Arial" w:cs="Arial"/>
          <w:sz w:val="24"/>
          <w:szCs w:val="24"/>
        </w:rPr>
        <w:t>, for clarity.</w:t>
      </w:r>
    </w:p>
    <w:p w14:paraId="08A5C413" w14:textId="14DE8EB4" w:rsidR="00344D31" w:rsidRDefault="007E376E" w:rsidP="00BF68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MI.61 </w:t>
      </w:r>
      <w:r w:rsidR="00AC70D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AC70D8">
        <w:rPr>
          <w:rFonts w:ascii="Arial" w:hAnsi="Arial" w:cs="Arial"/>
          <w:sz w:val="24"/>
          <w:szCs w:val="24"/>
        </w:rPr>
        <w:t xml:space="preserve">should the </w:t>
      </w:r>
      <w:r w:rsidR="007F258F">
        <w:rPr>
          <w:rFonts w:ascii="Arial" w:hAnsi="Arial" w:cs="Arial"/>
          <w:sz w:val="24"/>
          <w:szCs w:val="24"/>
        </w:rPr>
        <w:t>indicator be reworded to align with Policy MR2 – ‘sensitive</w:t>
      </w:r>
      <w:r w:rsidR="00B94553">
        <w:rPr>
          <w:rFonts w:ascii="Arial" w:hAnsi="Arial" w:cs="Arial"/>
          <w:sz w:val="24"/>
          <w:szCs w:val="24"/>
        </w:rPr>
        <w:t xml:space="preserve"> non-mineral development’? </w:t>
      </w:r>
    </w:p>
    <w:p w14:paraId="7219C805" w14:textId="34EB6002" w:rsidR="00135F1B" w:rsidRDefault="00BB64B9" w:rsidP="00BD1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are suggested new </w:t>
      </w:r>
      <w:r w:rsidR="004B2B12">
        <w:rPr>
          <w:rFonts w:ascii="Arial" w:hAnsi="Arial" w:cs="Arial"/>
          <w:sz w:val="24"/>
          <w:szCs w:val="24"/>
        </w:rPr>
        <w:t>indicators,</w:t>
      </w:r>
      <w:r>
        <w:rPr>
          <w:rFonts w:ascii="Arial" w:hAnsi="Arial" w:cs="Arial"/>
          <w:sz w:val="24"/>
          <w:szCs w:val="24"/>
        </w:rPr>
        <w:t xml:space="preserve"> and we invite the Council’s response to each</w:t>
      </w:r>
      <w:r w:rsidR="004B2B12">
        <w:rPr>
          <w:rFonts w:ascii="Arial" w:hAnsi="Arial" w:cs="Arial"/>
          <w:sz w:val="24"/>
          <w:szCs w:val="24"/>
        </w:rPr>
        <w:t>:</w:t>
      </w:r>
    </w:p>
    <w:p w14:paraId="56892B58" w14:textId="3CB268F8" w:rsidR="004B2B12" w:rsidRDefault="00D74E92" w:rsidP="004B2B1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Policy SP2 - </w:t>
      </w:r>
      <w:r w:rsidR="00A71407" w:rsidRPr="00A71407">
        <w:rPr>
          <w:rFonts w:ascii="Arial" w:hAnsi="Arial" w:cs="Arial"/>
          <w:sz w:val="24"/>
          <w:szCs w:val="24"/>
        </w:rPr>
        <w:t>would it be appropriate to have an indicator</w:t>
      </w:r>
      <w:r w:rsidR="00A71407">
        <w:rPr>
          <w:rFonts w:ascii="Arial" w:hAnsi="Arial" w:cs="Arial"/>
          <w:sz w:val="24"/>
          <w:szCs w:val="24"/>
        </w:rPr>
        <w:t xml:space="preserve"> for the proportion of </w:t>
      </w:r>
      <w:r w:rsidR="00A71407" w:rsidRPr="00A71407">
        <w:rPr>
          <w:rFonts w:ascii="Arial" w:hAnsi="Arial" w:cs="Arial"/>
          <w:sz w:val="24"/>
          <w:szCs w:val="24"/>
        </w:rPr>
        <w:t>A1</w:t>
      </w:r>
      <w:r w:rsidR="00A71407">
        <w:rPr>
          <w:rFonts w:ascii="Arial" w:hAnsi="Arial" w:cs="Arial"/>
          <w:sz w:val="24"/>
          <w:szCs w:val="24"/>
        </w:rPr>
        <w:t xml:space="preserve"> retail </w:t>
      </w:r>
      <w:r w:rsidR="00A71407" w:rsidRPr="00A71407">
        <w:rPr>
          <w:rFonts w:ascii="Arial" w:hAnsi="Arial" w:cs="Arial"/>
          <w:sz w:val="24"/>
          <w:szCs w:val="24"/>
        </w:rPr>
        <w:t>use</w:t>
      </w:r>
      <w:r w:rsidR="00A71407">
        <w:rPr>
          <w:rFonts w:ascii="Arial" w:hAnsi="Arial" w:cs="Arial"/>
          <w:sz w:val="24"/>
          <w:szCs w:val="24"/>
        </w:rPr>
        <w:t xml:space="preserve">s within town centre boundaries? </w:t>
      </w:r>
      <w:r w:rsidR="00877200" w:rsidRPr="00877200">
        <w:rPr>
          <w:rFonts w:ascii="Arial" w:hAnsi="Arial" w:cs="Arial"/>
          <w:sz w:val="24"/>
          <w:szCs w:val="24"/>
        </w:rPr>
        <w:t>The Town Centre Retail Audit 2024 [CSD100] could be used as the baseline for future monitoring.</w:t>
      </w:r>
    </w:p>
    <w:p w14:paraId="776867CD" w14:textId="740205A2" w:rsidR="00877200" w:rsidRDefault="00591864" w:rsidP="004B2B1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91864">
        <w:rPr>
          <w:rFonts w:ascii="Arial" w:hAnsi="Arial" w:cs="Arial"/>
          <w:sz w:val="24"/>
          <w:szCs w:val="24"/>
        </w:rPr>
        <w:t xml:space="preserve">Policy PSD7 – </w:t>
      </w:r>
      <w:r>
        <w:rPr>
          <w:rFonts w:ascii="Arial" w:hAnsi="Arial" w:cs="Arial"/>
          <w:sz w:val="24"/>
          <w:szCs w:val="24"/>
        </w:rPr>
        <w:t>include</w:t>
      </w:r>
      <w:r w:rsidRPr="00591864">
        <w:rPr>
          <w:rFonts w:ascii="Arial" w:hAnsi="Arial" w:cs="Arial"/>
          <w:sz w:val="24"/>
          <w:szCs w:val="24"/>
        </w:rPr>
        <w:t xml:space="preserve"> an indicator to monitor </w:t>
      </w:r>
      <w:r>
        <w:rPr>
          <w:rFonts w:ascii="Arial" w:hAnsi="Arial" w:cs="Arial"/>
          <w:sz w:val="24"/>
          <w:szCs w:val="24"/>
        </w:rPr>
        <w:t xml:space="preserve">the </w:t>
      </w:r>
      <w:r w:rsidRPr="00591864">
        <w:rPr>
          <w:rFonts w:ascii="Arial" w:hAnsi="Arial" w:cs="Arial"/>
          <w:sz w:val="24"/>
          <w:szCs w:val="24"/>
        </w:rPr>
        <w:t>loss of community facilities contrary to policy</w:t>
      </w:r>
      <w:r>
        <w:rPr>
          <w:rFonts w:ascii="Arial" w:hAnsi="Arial" w:cs="Arial"/>
          <w:sz w:val="24"/>
          <w:szCs w:val="24"/>
        </w:rPr>
        <w:t>?</w:t>
      </w:r>
    </w:p>
    <w:p w14:paraId="5256F698" w14:textId="689840E8" w:rsidR="00CD5015" w:rsidRPr="00CD5015" w:rsidRDefault="00CD5015" w:rsidP="00CD501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D5015">
        <w:rPr>
          <w:rFonts w:ascii="Arial" w:hAnsi="Arial" w:cs="Arial"/>
          <w:sz w:val="24"/>
          <w:szCs w:val="24"/>
        </w:rPr>
        <w:t>Policy PSD8 – provision of new open space – include an indicator to monitor provision against policy</w:t>
      </w:r>
      <w:r>
        <w:rPr>
          <w:rFonts w:ascii="Arial" w:hAnsi="Arial" w:cs="Arial"/>
          <w:sz w:val="24"/>
          <w:szCs w:val="24"/>
        </w:rPr>
        <w:t>, with a</w:t>
      </w:r>
      <w:r w:rsidRPr="00CD5015">
        <w:rPr>
          <w:rFonts w:ascii="Arial" w:hAnsi="Arial" w:cs="Arial"/>
          <w:sz w:val="24"/>
          <w:szCs w:val="24"/>
        </w:rPr>
        <w:t xml:space="preserve"> trigger </w:t>
      </w:r>
      <w:r>
        <w:rPr>
          <w:rFonts w:ascii="Arial" w:hAnsi="Arial" w:cs="Arial"/>
          <w:sz w:val="24"/>
          <w:szCs w:val="24"/>
        </w:rPr>
        <w:t>for</w:t>
      </w:r>
      <w:r w:rsidRPr="00CD5015">
        <w:rPr>
          <w:rFonts w:ascii="Arial" w:hAnsi="Arial" w:cs="Arial"/>
          <w:sz w:val="24"/>
          <w:szCs w:val="24"/>
        </w:rPr>
        <w:t xml:space="preserve"> permissions granted without sufficient </w:t>
      </w:r>
      <w:r>
        <w:rPr>
          <w:rFonts w:ascii="Arial" w:hAnsi="Arial" w:cs="Arial"/>
          <w:sz w:val="24"/>
          <w:szCs w:val="24"/>
        </w:rPr>
        <w:t>open space</w:t>
      </w:r>
      <w:r w:rsidRPr="00CD5015">
        <w:rPr>
          <w:rFonts w:ascii="Arial" w:hAnsi="Arial" w:cs="Arial"/>
          <w:sz w:val="24"/>
          <w:szCs w:val="24"/>
        </w:rPr>
        <w:t xml:space="preserve"> provision?</w:t>
      </w:r>
    </w:p>
    <w:p w14:paraId="4A180BA0" w14:textId="0A0AD73D" w:rsidR="00591864" w:rsidRDefault="00A06DF6" w:rsidP="004B2B1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06DF6">
        <w:rPr>
          <w:rFonts w:ascii="Arial" w:hAnsi="Arial" w:cs="Arial"/>
          <w:sz w:val="24"/>
          <w:szCs w:val="24"/>
        </w:rPr>
        <w:t xml:space="preserve">Policy PSD14 – include </w:t>
      </w:r>
      <w:r>
        <w:rPr>
          <w:rFonts w:ascii="Arial" w:hAnsi="Arial" w:cs="Arial"/>
          <w:sz w:val="24"/>
          <w:szCs w:val="24"/>
        </w:rPr>
        <w:t xml:space="preserve">a </w:t>
      </w:r>
      <w:r w:rsidRPr="00A06DF6">
        <w:rPr>
          <w:rFonts w:ascii="Arial" w:hAnsi="Arial" w:cs="Arial"/>
          <w:sz w:val="24"/>
          <w:szCs w:val="24"/>
        </w:rPr>
        <w:t>monitoring target for schemes granted permission not in accordance with policy</w:t>
      </w:r>
      <w:r>
        <w:rPr>
          <w:rFonts w:ascii="Arial" w:hAnsi="Arial" w:cs="Arial"/>
          <w:sz w:val="24"/>
          <w:szCs w:val="24"/>
        </w:rPr>
        <w:t>?</w:t>
      </w:r>
    </w:p>
    <w:p w14:paraId="7DB3215B" w14:textId="400387AE" w:rsidR="003A6EC0" w:rsidRDefault="001E01F9" w:rsidP="004B2B1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Policy NE1 – include an </w:t>
      </w:r>
      <w:r w:rsidRPr="001E01F9">
        <w:rPr>
          <w:rFonts w:ascii="Arial" w:hAnsi="Arial" w:cs="Arial"/>
          <w:sz w:val="24"/>
          <w:szCs w:val="24"/>
        </w:rPr>
        <w:t>indicator for biodiversity enhancements (e.g. Green Infrastructure Statements)</w:t>
      </w:r>
      <w:r>
        <w:rPr>
          <w:rFonts w:ascii="Arial" w:hAnsi="Arial" w:cs="Arial"/>
          <w:sz w:val="24"/>
          <w:szCs w:val="24"/>
        </w:rPr>
        <w:t>?</w:t>
      </w:r>
    </w:p>
    <w:p w14:paraId="751C3B39" w14:textId="6948DAB3" w:rsidR="00942D6A" w:rsidRPr="004B2B12" w:rsidRDefault="00942D6A" w:rsidP="004B2B1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Policy CCH1 </w:t>
      </w:r>
      <w:r w:rsidR="0097630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976304">
        <w:rPr>
          <w:rFonts w:ascii="Arial" w:hAnsi="Arial" w:cs="Arial"/>
          <w:sz w:val="24"/>
          <w:szCs w:val="24"/>
        </w:rPr>
        <w:t xml:space="preserve">include </w:t>
      </w:r>
      <w:r w:rsidR="00976304" w:rsidRPr="00976304">
        <w:rPr>
          <w:rFonts w:ascii="Arial" w:hAnsi="Arial" w:cs="Arial"/>
          <w:sz w:val="24"/>
          <w:szCs w:val="24"/>
        </w:rPr>
        <w:t>an indicator to monitor delivery of solar schemes</w:t>
      </w:r>
      <w:r w:rsidR="00976304">
        <w:rPr>
          <w:rFonts w:ascii="Arial" w:hAnsi="Arial" w:cs="Arial"/>
          <w:sz w:val="24"/>
          <w:szCs w:val="24"/>
        </w:rPr>
        <w:t xml:space="preserve"> and </w:t>
      </w:r>
      <w:r w:rsidR="00976304" w:rsidRPr="00976304">
        <w:rPr>
          <w:rFonts w:ascii="Arial" w:hAnsi="Arial" w:cs="Arial"/>
          <w:sz w:val="24"/>
          <w:szCs w:val="24"/>
        </w:rPr>
        <w:t>capacity within the 3 L</w:t>
      </w:r>
      <w:r w:rsidR="00976304">
        <w:rPr>
          <w:rFonts w:ascii="Arial" w:hAnsi="Arial" w:cs="Arial"/>
          <w:sz w:val="24"/>
          <w:szCs w:val="24"/>
        </w:rPr>
        <w:t xml:space="preserve">ocal </w:t>
      </w:r>
      <w:r w:rsidR="00976304" w:rsidRPr="00976304">
        <w:rPr>
          <w:rFonts w:ascii="Arial" w:hAnsi="Arial" w:cs="Arial"/>
          <w:sz w:val="24"/>
          <w:szCs w:val="24"/>
        </w:rPr>
        <w:t>S</w:t>
      </w:r>
      <w:r w:rsidR="00976304">
        <w:rPr>
          <w:rFonts w:ascii="Arial" w:hAnsi="Arial" w:cs="Arial"/>
          <w:sz w:val="24"/>
          <w:szCs w:val="24"/>
        </w:rPr>
        <w:t xml:space="preserve">earch </w:t>
      </w:r>
      <w:r w:rsidR="00976304" w:rsidRPr="00976304">
        <w:rPr>
          <w:rFonts w:ascii="Arial" w:hAnsi="Arial" w:cs="Arial"/>
          <w:sz w:val="24"/>
          <w:szCs w:val="24"/>
        </w:rPr>
        <w:t>A</w:t>
      </w:r>
      <w:r w:rsidR="00976304">
        <w:rPr>
          <w:rFonts w:ascii="Arial" w:hAnsi="Arial" w:cs="Arial"/>
          <w:sz w:val="24"/>
          <w:szCs w:val="24"/>
        </w:rPr>
        <w:t>rea</w:t>
      </w:r>
      <w:r w:rsidR="00976304" w:rsidRPr="00976304">
        <w:rPr>
          <w:rFonts w:ascii="Arial" w:hAnsi="Arial" w:cs="Arial"/>
          <w:sz w:val="24"/>
          <w:szCs w:val="24"/>
        </w:rPr>
        <w:t>s?</w:t>
      </w:r>
    </w:p>
    <w:p w14:paraId="210272B5" w14:textId="77777777" w:rsidR="00F26223" w:rsidRDefault="00F26223" w:rsidP="00035B33">
      <w:pPr>
        <w:rPr>
          <w:rFonts w:ascii="Arial" w:hAnsi="Arial" w:cs="Arial"/>
          <w:sz w:val="24"/>
          <w:szCs w:val="24"/>
        </w:rPr>
      </w:pPr>
    </w:p>
    <w:p w14:paraId="0619017A" w14:textId="3B7AEA08" w:rsidR="006517EB" w:rsidRDefault="006517EB">
      <w:pPr>
        <w:rPr>
          <w:rFonts w:ascii="Arial" w:hAnsi="Arial" w:cs="Arial"/>
          <w:sz w:val="24"/>
          <w:szCs w:val="24"/>
        </w:rPr>
      </w:pPr>
      <w:r w:rsidRPr="007D7835">
        <w:rPr>
          <w:rFonts w:ascii="Arial" w:hAnsi="Arial" w:cs="Arial"/>
          <w:sz w:val="24"/>
          <w:szCs w:val="24"/>
        </w:rPr>
        <w:t xml:space="preserve">The Council </w:t>
      </w:r>
      <w:r w:rsidR="00FB4433">
        <w:rPr>
          <w:rFonts w:ascii="Arial" w:hAnsi="Arial" w:cs="Arial"/>
          <w:sz w:val="24"/>
          <w:szCs w:val="24"/>
        </w:rPr>
        <w:t xml:space="preserve">is asked to consider the above suggestions and provide a full response to each point, along with any consequential changes </w:t>
      </w:r>
      <w:r w:rsidR="00EB5F30">
        <w:rPr>
          <w:rFonts w:ascii="Arial" w:hAnsi="Arial" w:cs="Arial"/>
          <w:sz w:val="24"/>
          <w:szCs w:val="24"/>
        </w:rPr>
        <w:t>in a</w:t>
      </w:r>
      <w:r w:rsidR="006B7ECA">
        <w:rPr>
          <w:rFonts w:ascii="Arial" w:hAnsi="Arial" w:cs="Arial"/>
          <w:sz w:val="24"/>
          <w:szCs w:val="24"/>
        </w:rPr>
        <w:t>n</w:t>
      </w:r>
      <w:r w:rsidR="00EB5F30">
        <w:rPr>
          <w:rFonts w:ascii="Arial" w:hAnsi="Arial" w:cs="Arial"/>
          <w:sz w:val="24"/>
          <w:szCs w:val="24"/>
        </w:rPr>
        <w:t xml:space="preserve"> Action Points table</w:t>
      </w:r>
      <w:r w:rsidR="00AA0C3E">
        <w:rPr>
          <w:rFonts w:ascii="Arial" w:hAnsi="Arial" w:cs="Arial"/>
          <w:sz w:val="24"/>
          <w:szCs w:val="24"/>
        </w:rPr>
        <w:t>, by</w:t>
      </w:r>
      <w:r w:rsidRPr="007D7835">
        <w:rPr>
          <w:rFonts w:ascii="Arial" w:hAnsi="Arial" w:cs="Arial"/>
          <w:sz w:val="24"/>
          <w:szCs w:val="24"/>
        </w:rPr>
        <w:t xml:space="preserve"> </w:t>
      </w:r>
      <w:r w:rsidR="001F68D6">
        <w:rPr>
          <w:rFonts w:ascii="Arial" w:hAnsi="Arial" w:cs="Arial"/>
          <w:b/>
          <w:bCs/>
          <w:sz w:val="24"/>
          <w:szCs w:val="24"/>
        </w:rPr>
        <w:t>10</w:t>
      </w:r>
      <w:r w:rsidR="006863B0" w:rsidRPr="006863B0">
        <w:rPr>
          <w:rFonts w:ascii="Arial" w:hAnsi="Arial" w:cs="Arial"/>
          <w:b/>
          <w:bCs/>
          <w:sz w:val="24"/>
          <w:szCs w:val="24"/>
        </w:rPr>
        <w:t xml:space="preserve"> October</w:t>
      </w:r>
      <w:r w:rsidR="006863B0">
        <w:rPr>
          <w:rFonts w:ascii="Arial" w:hAnsi="Arial" w:cs="Arial"/>
          <w:sz w:val="24"/>
          <w:szCs w:val="24"/>
        </w:rPr>
        <w:t xml:space="preserve"> </w:t>
      </w:r>
      <w:r w:rsidRPr="00825BF9">
        <w:rPr>
          <w:rFonts w:ascii="Arial" w:hAnsi="Arial" w:cs="Arial"/>
          <w:b/>
          <w:bCs/>
          <w:sz w:val="24"/>
          <w:szCs w:val="24"/>
        </w:rPr>
        <w:t>202</w:t>
      </w:r>
      <w:r w:rsidR="003F2837" w:rsidRPr="00825BF9">
        <w:rPr>
          <w:rFonts w:ascii="Arial" w:hAnsi="Arial" w:cs="Arial"/>
          <w:b/>
          <w:bCs/>
          <w:sz w:val="24"/>
          <w:szCs w:val="24"/>
        </w:rPr>
        <w:t>5</w:t>
      </w:r>
      <w:r w:rsidRPr="007D7835">
        <w:rPr>
          <w:rFonts w:ascii="Arial" w:hAnsi="Arial" w:cs="Arial"/>
          <w:sz w:val="24"/>
          <w:szCs w:val="24"/>
        </w:rPr>
        <w:t>.</w:t>
      </w:r>
    </w:p>
    <w:p w14:paraId="3B12994A" w14:textId="4828A877" w:rsidR="00BD1484" w:rsidRDefault="00BD1484" w:rsidP="00BD1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Lastly, t</w:t>
      </w:r>
      <w:r w:rsidRPr="009C5067">
        <w:rPr>
          <w:rFonts w:ascii="Arial" w:hAnsi="Arial" w:cs="Arial"/>
          <w:sz w:val="24"/>
          <w:szCs w:val="24"/>
        </w:rPr>
        <w:t>he framework will need a factual update to address consequential changes to Policy numbers (e.g. BHE2), targets</w:t>
      </w:r>
      <w:r>
        <w:rPr>
          <w:rFonts w:ascii="Arial" w:hAnsi="Arial" w:cs="Arial"/>
          <w:sz w:val="24"/>
          <w:szCs w:val="24"/>
        </w:rPr>
        <w:t xml:space="preserve"> (because of Action Points changes)</w:t>
      </w:r>
      <w:r w:rsidRPr="009C5067">
        <w:rPr>
          <w:rFonts w:ascii="Arial" w:hAnsi="Arial" w:cs="Arial"/>
          <w:sz w:val="24"/>
          <w:szCs w:val="24"/>
        </w:rPr>
        <w:t xml:space="preserve"> and national policy (</w:t>
      </w:r>
      <w:r>
        <w:rPr>
          <w:rFonts w:ascii="Arial" w:hAnsi="Arial" w:cs="Arial"/>
          <w:sz w:val="24"/>
          <w:szCs w:val="24"/>
        </w:rPr>
        <w:t xml:space="preserve">e.g. Flood Map for Planning flood zones). These consequential changes can be made post-adoption. </w:t>
      </w:r>
    </w:p>
    <w:p w14:paraId="0C8361FE" w14:textId="052CC439" w:rsidR="006517EB" w:rsidRDefault="006517EB">
      <w:pPr>
        <w:rPr>
          <w:rFonts w:ascii="Arial" w:hAnsi="Arial" w:cs="Arial"/>
          <w:sz w:val="24"/>
          <w:szCs w:val="24"/>
        </w:rPr>
      </w:pPr>
      <w:r w:rsidRPr="007D7835">
        <w:rPr>
          <w:rFonts w:ascii="Arial" w:hAnsi="Arial" w:cs="Arial"/>
          <w:sz w:val="24"/>
          <w:szCs w:val="24"/>
        </w:rPr>
        <w:t xml:space="preserve">If you have any questions about the content of this note, please contact </w:t>
      </w:r>
      <w:r w:rsidR="009B05C3">
        <w:rPr>
          <w:rFonts w:ascii="Arial" w:hAnsi="Arial" w:cs="Arial"/>
          <w:sz w:val="24"/>
          <w:szCs w:val="24"/>
        </w:rPr>
        <w:t>us</w:t>
      </w:r>
      <w:r w:rsidRPr="007D7835">
        <w:rPr>
          <w:rFonts w:ascii="Arial" w:hAnsi="Arial" w:cs="Arial"/>
          <w:sz w:val="24"/>
          <w:szCs w:val="24"/>
        </w:rPr>
        <w:t xml:space="preserve"> via the Programme Officer.</w:t>
      </w:r>
    </w:p>
    <w:p w14:paraId="777D2881" w14:textId="77777777" w:rsidR="007D7835" w:rsidRDefault="007D7835"/>
    <w:p w14:paraId="41ECF39E" w14:textId="77777777" w:rsidR="007D7835" w:rsidRPr="006E2FE1" w:rsidRDefault="007D7835" w:rsidP="007D7835">
      <w:pPr>
        <w:spacing w:before="120" w:after="120" w:line="240" w:lineRule="auto"/>
        <w:rPr>
          <w:rFonts w:ascii="Monotype Corsiva" w:hAnsi="Monotype Corsiva" w:cs="Arial"/>
          <w:i/>
          <w:iCs/>
          <w:kern w:val="0"/>
          <w:sz w:val="36"/>
          <w:szCs w:val="36"/>
          <w:lang w:eastAsia="en-GB"/>
          <w14:ligatures w14:val="none"/>
        </w:rPr>
      </w:pPr>
      <w:r w:rsidRPr="006E2FE1">
        <w:rPr>
          <w:rFonts w:ascii="Monotype Corsiva" w:hAnsi="Monotype Corsiva" w:cs="Arial"/>
          <w:i/>
          <w:iCs/>
          <w:kern w:val="28"/>
          <w:sz w:val="36"/>
          <w:szCs w:val="36"/>
          <w:lang w:eastAsia="en-GB"/>
          <w14:ligatures w14:val="none"/>
        </w:rPr>
        <w:t>Nicola Gulley and Ian Stevens</w:t>
      </w:r>
    </w:p>
    <w:p w14:paraId="3A4AC4DF" w14:textId="77777777" w:rsidR="007D7835" w:rsidRPr="006E2FE1" w:rsidRDefault="007D7835" w:rsidP="007D7835">
      <w:pPr>
        <w:outlineLvl w:val="0"/>
        <w:rPr>
          <w:rFonts w:ascii="Arial" w:hAnsi="Arial" w:cs="Arial"/>
          <w:kern w:val="28"/>
          <w:sz w:val="24"/>
          <w:szCs w:val="24"/>
          <w14:ligatures w14:val="none"/>
        </w:rPr>
      </w:pPr>
      <w:r w:rsidRPr="006E2FE1">
        <w:rPr>
          <w:rFonts w:ascii="Arial" w:hAnsi="Arial" w:cs="Arial"/>
          <w:kern w:val="28"/>
          <w:sz w:val="24"/>
          <w:szCs w:val="24"/>
          <w14:ligatures w14:val="none"/>
        </w:rPr>
        <w:t>INSPECTORS</w:t>
      </w:r>
    </w:p>
    <w:p w14:paraId="616F7BFF" w14:textId="277273EF" w:rsidR="007D7835" w:rsidRPr="000A622B" w:rsidRDefault="00303F01" w:rsidP="007D7835">
      <w:pPr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23</w:t>
      </w:r>
      <w:r w:rsidR="006F6BBF">
        <w:rPr>
          <w:rFonts w:ascii="Arial" w:hAnsi="Arial" w:cs="Arial"/>
          <w:kern w:val="0"/>
          <w:sz w:val="24"/>
          <w:szCs w:val="24"/>
          <w14:ligatures w14:val="none"/>
        </w:rPr>
        <w:t>/9</w:t>
      </w:r>
      <w:r w:rsidR="007D7835" w:rsidRPr="00911BC3">
        <w:rPr>
          <w:rFonts w:ascii="Arial" w:hAnsi="Arial" w:cs="Arial"/>
          <w:kern w:val="0"/>
          <w:sz w:val="24"/>
          <w:szCs w:val="24"/>
          <w14:ligatures w14:val="none"/>
        </w:rPr>
        <w:t>/2025</w:t>
      </w:r>
    </w:p>
    <w:p w14:paraId="12E40686" w14:textId="77777777" w:rsidR="00880457" w:rsidRDefault="00880457"/>
    <w:sectPr w:rsidR="0088045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059DC" w14:textId="77777777" w:rsidR="00877200" w:rsidRDefault="00877200" w:rsidP="00877200">
      <w:pPr>
        <w:spacing w:after="0" w:line="240" w:lineRule="auto"/>
      </w:pPr>
      <w:r>
        <w:separator/>
      </w:r>
    </w:p>
  </w:endnote>
  <w:endnote w:type="continuationSeparator" w:id="0">
    <w:p w14:paraId="4734DCC4" w14:textId="77777777" w:rsidR="00877200" w:rsidRDefault="00877200" w:rsidP="0087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80879"/>
      <w:docPartObj>
        <w:docPartGallery w:val="Page Numbers (Bottom of Page)"/>
        <w:docPartUnique/>
      </w:docPartObj>
    </w:sdtPr>
    <w:sdtEndPr/>
    <w:sdtContent>
      <w:p w14:paraId="40B5276A" w14:textId="68A0DDC0" w:rsidR="00877200" w:rsidRDefault="00877200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F6AE27" w14:textId="77777777" w:rsidR="00877200" w:rsidRDefault="00877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C9081" w14:textId="77777777" w:rsidR="00877200" w:rsidRDefault="00877200" w:rsidP="00877200">
      <w:pPr>
        <w:spacing w:after="0" w:line="240" w:lineRule="auto"/>
      </w:pPr>
      <w:r>
        <w:separator/>
      </w:r>
    </w:p>
  </w:footnote>
  <w:footnote w:type="continuationSeparator" w:id="0">
    <w:p w14:paraId="0AE9137B" w14:textId="77777777" w:rsidR="00877200" w:rsidRDefault="00877200" w:rsidP="0087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C671" w14:textId="688CFE63" w:rsidR="00877200" w:rsidRDefault="00877200">
    <w:pPr>
      <w:pStyle w:val="Header"/>
    </w:pPr>
  </w:p>
  <w:p w14:paraId="7704F068" w14:textId="77777777" w:rsidR="00877200" w:rsidRDefault="00877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38EE"/>
    <w:multiLevelType w:val="hybridMultilevel"/>
    <w:tmpl w:val="95AE9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B019D"/>
    <w:multiLevelType w:val="hybridMultilevel"/>
    <w:tmpl w:val="30A8F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870AD"/>
    <w:multiLevelType w:val="hybridMultilevel"/>
    <w:tmpl w:val="D2489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447395">
    <w:abstractNumId w:val="1"/>
  </w:num>
  <w:num w:numId="2" w16cid:durableId="807285859">
    <w:abstractNumId w:val="0"/>
  </w:num>
  <w:num w:numId="3" w16cid:durableId="1411081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EB"/>
    <w:rsid w:val="00010B16"/>
    <w:rsid w:val="00011741"/>
    <w:rsid w:val="000178A5"/>
    <w:rsid w:val="00035B33"/>
    <w:rsid w:val="00062AAD"/>
    <w:rsid w:val="00071BA0"/>
    <w:rsid w:val="0007523E"/>
    <w:rsid w:val="000976D7"/>
    <w:rsid w:val="000A2593"/>
    <w:rsid w:val="000B3BFC"/>
    <w:rsid w:val="000C5EC8"/>
    <w:rsid w:val="000C69A7"/>
    <w:rsid w:val="000D294B"/>
    <w:rsid w:val="000E4A47"/>
    <w:rsid w:val="000E4D3A"/>
    <w:rsid w:val="000E5007"/>
    <w:rsid w:val="000F00B8"/>
    <w:rsid w:val="00107F7C"/>
    <w:rsid w:val="0012320D"/>
    <w:rsid w:val="00123C2F"/>
    <w:rsid w:val="00132EC8"/>
    <w:rsid w:val="00135F1B"/>
    <w:rsid w:val="00145963"/>
    <w:rsid w:val="00160170"/>
    <w:rsid w:val="00164E9D"/>
    <w:rsid w:val="0016657C"/>
    <w:rsid w:val="00170F7C"/>
    <w:rsid w:val="00173538"/>
    <w:rsid w:val="00180462"/>
    <w:rsid w:val="0019212E"/>
    <w:rsid w:val="0019490E"/>
    <w:rsid w:val="00194D20"/>
    <w:rsid w:val="001976AD"/>
    <w:rsid w:val="001A78A5"/>
    <w:rsid w:val="001B025C"/>
    <w:rsid w:val="001B29C2"/>
    <w:rsid w:val="001C7D96"/>
    <w:rsid w:val="001C7FE8"/>
    <w:rsid w:val="001E01F9"/>
    <w:rsid w:val="001E21AD"/>
    <w:rsid w:val="001E521A"/>
    <w:rsid w:val="001F68D6"/>
    <w:rsid w:val="0021202F"/>
    <w:rsid w:val="00214547"/>
    <w:rsid w:val="00224C6A"/>
    <w:rsid w:val="0023000D"/>
    <w:rsid w:val="00237308"/>
    <w:rsid w:val="00290E6B"/>
    <w:rsid w:val="0029627E"/>
    <w:rsid w:val="002B3603"/>
    <w:rsid w:val="002C422B"/>
    <w:rsid w:val="002C5FCE"/>
    <w:rsid w:val="002D7B72"/>
    <w:rsid w:val="002E71D0"/>
    <w:rsid w:val="00303F01"/>
    <w:rsid w:val="00320831"/>
    <w:rsid w:val="00343171"/>
    <w:rsid w:val="00344D31"/>
    <w:rsid w:val="003578B4"/>
    <w:rsid w:val="00375E54"/>
    <w:rsid w:val="00376CD0"/>
    <w:rsid w:val="003777EA"/>
    <w:rsid w:val="00382531"/>
    <w:rsid w:val="00387AEA"/>
    <w:rsid w:val="003A6EC0"/>
    <w:rsid w:val="003B45CF"/>
    <w:rsid w:val="003C749C"/>
    <w:rsid w:val="003F2837"/>
    <w:rsid w:val="003F2C6C"/>
    <w:rsid w:val="003F451C"/>
    <w:rsid w:val="004037F3"/>
    <w:rsid w:val="00404DAC"/>
    <w:rsid w:val="00406E60"/>
    <w:rsid w:val="004147D9"/>
    <w:rsid w:val="00441AA3"/>
    <w:rsid w:val="00444F14"/>
    <w:rsid w:val="00447747"/>
    <w:rsid w:val="004606E0"/>
    <w:rsid w:val="0046235E"/>
    <w:rsid w:val="004665B9"/>
    <w:rsid w:val="0048626F"/>
    <w:rsid w:val="0049619E"/>
    <w:rsid w:val="004B2B12"/>
    <w:rsid w:val="004B664B"/>
    <w:rsid w:val="004C4890"/>
    <w:rsid w:val="004D5967"/>
    <w:rsid w:val="004F7122"/>
    <w:rsid w:val="004F7F2C"/>
    <w:rsid w:val="00517425"/>
    <w:rsid w:val="00552B7A"/>
    <w:rsid w:val="00561D36"/>
    <w:rsid w:val="00570268"/>
    <w:rsid w:val="00570C82"/>
    <w:rsid w:val="00571A3E"/>
    <w:rsid w:val="005907AF"/>
    <w:rsid w:val="00591864"/>
    <w:rsid w:val="005A7F8A"/>
    <w:rsid w:val="005E4CAD"/>
    <w:rsid w:val="005F0230"/>
    <w:rsid w:val="00600983"/>
    <w:rsid w:val="00613CE3"/>
    <w:rsid w:val="0061650C"/>
    <w:rsid w:val="00620527"/>
    <w:rsid w:val="00623FEC"/>
    <w:rsid w:val="00630AC6"/>
    <w:rsid w:val="0063388D"/>
    <w:rsid w:val="0064249A"/>
    <w:rsid w:val="00645108"/>
    <w:rsid w:val="006517EB"/>
    <w:rsid w:val="006709A6"/>
    <w:rsid w:val="00671A38"/>
    <w:rsid w:val="00682ECA"/>
    <w:rsid w:val="00685D27"/>
    <w:rsid w:val="006863B0"/>
    <w:rsid w:val="00691B92"/>
    <w:rsid w:val="00693159"/>
    <w:rsid w:val="00697608"/>
    <w:rsid w:val="006A2747"/>
    <w:rsid w:val="006A4C11"/>
    <w:rsid w:val="006B7ECA"/>
    <w:rsid w:val="006C62F3"/>
    <w:rsid w:val="006D5D37"/>
    <w:rsid w:val="006E26F2"/>
    <w:rsid w:val="006F37FB"/>
    <w:rsid w:val="006F6BBF"/>
    <w:rsid w:val="007012D7"/>
    <w:rsid w:val="00736C2A"/>
    <w:rsid w:val="007458AF"/>
    <w:rsid w:val="0075102F"/>
    <w:rsid w:val="007727EC"/>
    <w:rsid w:val="007A5400"/>
    <w:rsid w:val="007A69BE"/>
    <w:rsid w:val="007B4676"/>
    <w:rsid w:val="007B4B6D"/>
    <w:rsid w:val="007B59EA"/>
    <w:rsid w:val="007D0AB9"/>
    <w:rsid w:val="007D19EE"/>
    <w:rsid w:val="007D452A"/>
    <w:rsid w:val="007D6142"/>
    <w:rsid w:val="007D6DE9"/>
    <w:rsid w:val="007D7835"/>
    <w:rsid w:val="007E376E"/>
    <w:rsid w:val="007E38CD"/>
    <w:rsid w:val="007F258F"/>
    <w:rsid w:val="00800EDB"/>
    <w:rsid w:val="0080209F"/>
    <w:rsid w:val="00807590"/>
    <w:rsid w:val="008110A8"/>
    <w:rsid w:val="00817323"/>
    <w:rsid w:val="0082329C"/>
    <w:rsid w:val="00825BF9"/>
    <w:rsid w:val="00832604"/>
    <w:rsid w:val="00832D27"/>
    <w:rsid w:val="00842167"/>
    <w:rsid w:val="00860241"/>
    <w:rsid w:val="00865DF3"/>
    <w:rsid w:val="00877200"/>
    <w:rsid w:val="00880457"/>
    <w:rsid w:val="00880A37"/>
    <w:rsid w:val="0088618B"/>
    <w:rsid w:val="008A13CC"/>
    <w:rsid w:val="008A490E"/>
    <w:rsid w:val="008B0739"/>
    <w:rsid w:val="008B11B3"/>
    <w:rsid w:val="008E6330"/>
    <w:rsid w:val="008E64E0"/>
    <w:rsid w:val="008F36EF"/>
    <w:rsid w:val="008F7244"/>
    <w:rsid w:val="00901333"/>
    <w:rsid w:val="009055AB"/>
    <w:rsid w:val="00906E5A"/>
    <w:rsid w:val="009070DF"/>
    <w:rsid w:val="0091523C"/>
    <w:rsid w:val="00931579"/>
    <w:rsid w:val="00942D6A"/>
    <w:rsid w:val="00943A25"/>
    <w:rsid w:val="0094487E"/>
    <w:rsid w:val="009504C0"/>
    <w:rsid w:val="00952C07"/>
    <w:rsid w:val="00961EAD"/>
    <w:rsid w:val="009711B9"/>
    <w:rsid w:val="009741FE"/>
    <w:rsid w:val="009757E0"/>
    <w:rsid w:val="00976304"/>
    <w:rsid w:val="00981782"/>
    <w:rsid w:val="009B04B1"/>
    <w:rsid w:val="009B05B2"/>
    <w:rsid w:val="009B05C3"/>
    <w:rsid w:val="009B5061"/>
    <w:rsid w:val="009B5676"/>
    <w:rsid w:val="009C5067"/>
    <w:rsid w:val="009C56C7"/>
    <w:rsid w:val="009D31AB"/>
    <w:rsid w:val="009D52AF"/>
    <w:rsid w:val="009E274A"/>
    <w:rsid w:val="00A05E87"/>
    <w:rsid w:val="00A06DF6"/>
    <w:rsid w:val="00A203EB"/>
    <w:rsid w:val="00A33BBD"/>
    <w:rsid w:val="00A34D9F"/>
    <w:rsid w:val="00A44D34"/>
    <w:rsid w:val="00A478F1"/>
    <w:rsid w:val="00A51930"/>
    <w:rsid w:val="00A626B9"/>
    <w:rsid w:val="00A63B72"/>
    <w:rsid w:val="00A6744E"/>
    <w:rsid w:val="00A71407"/>
    <w:rsid w:val="00A73DDF"/>
    <w:rsid w:val="00A771D8"/>
    <w:rsid w:val="00A8528A"/>
    <w:rsid w:val="00A9173B"/>
    <w:rsid w:val="00AA0C3E"/>
    <w:rsid w:val="00AA361B"/>
    <w:rsid w:val="00AA7B18"/>
    <w:rsid w:val="00AB3F12"/>
    <w:rsid w:val="00AC038F"/>
    <w:rsid w:val="00AC3D97"/>
    <w:rsid w:val="00AC70D8"/>
    <w:rsid w:val="00AD066F"/>
    <w:rsid w:val="00AD1D83"/>
    <w:rsid w:val="00AD1F8A"/>
    <w:rsid w:val="00AE6222"/>
    <w:rsid w:val="00AF375D"/>
    <w:rsid w:val="00B0524F"/>
    <w:rsid w:val="00B0681B"/>
    <w:rsid w:val="00B102E3"/>
    <w:rsid w:val="00B1566A"/>
    <w:rsid w:val="00B17818"/>
    <w:rsid w:val="00B21646"/>
    <w:rsid w:val="00B42CF9"/>
    <w:rsid w:val="00B5587A"/>
    <w:rsid w:val="00B74BE9"/>
    <w:rsid w:val="00B7768D"/>
    <w:rsid w:val="00B8189A"/>
    <w:rsid w:val="00B831F8"/>
    <w:rsid w:val="00B872A8"/>
    <w:rsid w:val="00B94553"/>
    <w:rsid w:val="00BA05D4"/>
    <w:rsid w:val="00BB0C28"/>
    <w:rsid w:val="00BB308C"/>
    <w:rsid w:val="00BB5D40"/>
    <w:rsid w:val="00BB64B9"/>
    <w:rsid w:val="00BC28AB"/>
    <w:rsid w:val="00BD1484"/>
    <w:rsid w:val="00BD4B10"/>
    <w:rsid w:val="00BD713D"/>
    <w:rsid w:val="00BF213A"/>
    <w:rsid w:val="00BF3396"/>
    <w:rsid w:val="00BF687F"/>
    <w:rsid w:val="00BF6FB1"/>
    <w:rsid w:val="00C02D63"/>
    <w:rsid w:val="00C055DC"/>
    <w:rsid w:val="00C16CAF"/>
    <w:rsid w:val="00C2676B"/>
    <w:rsid w:val="00C41ACE"/>
    <w:rsid w:val="00C52A42"/>
    <w:rsid w:val="00C5766D"/>
    <w:rsid w:val="00C80BD6"/>
    <w:rsid w:val="00C81E63"/>
    <w:rsid w:val="00CA6207"/>
    <w:rsid w:val="00CB0D6A"/>
    <w:rsid w:val="00CB51FF"/>
    <w:rsid w:val="00CB70BC"/>
    <w:rsid w:val="00CC54DA"/>
    <w:rsid w:val="00CD0C85"/>
    <w:rsid w:val="00CD431C"/>
    <w:rsid w:val="00CD5015"/>
    <w:rsid w:val="00CD6EB6"/>
    <w:rsid w:val="00CE4513"/>
    <w:rsid w:val="00D02379"/>
    <w:rsid w:val="00D06BB7"/>
    <w:rsid w:val="00D075E1"/>
    <w:rsid w:val="00D25E5E"/>
    <w:rsid w:val="00D26BC9"/>
    <w:rsid w:val="00D26FE2"/>
    <w:rsid w:val="00D3313A"/>
    <w:rsid w:val="00D44FBD"/>
    <w:rsid w:val="00D452ED"/>
    <w:rsid w:val="00D46813"/>
    <w:rsid w:val="00D629B5"/>
    <w:rsid w:val="00D62B10"/>
    <w:rsid w:val="00D74E92"/>
    <w:rsid w:val="00D829A9"/>
    <w:rsid w:val="00D86740"/>
    <w:rsid w:val="00DA076C"/>
    <w:rsid w:val="00DA479E"/>
    <w:rsid w:val="00DA4C89"/>
    <w:rsid w:val="00DA6697"/>
    <w:rsid w:val="00DB2999"/>
    <w:rsid w:val="00DD5A33"/>
    <w:rsid w:val="00DD7AE2"/>
    <w:rsid w:val="00DF7727"/>
    <w:rsid w:val="00E0001D"/>
    <w:rsid w:val="00E01631"/>
    <w:rsid w:val="00E0391F"/>
    <w:rsid w:val="00E26B66"/>
    <w:rsid w:val="00E2752B"/>
    <w:rsid w:val="00E34C67"/>
    <w:rsid w:val="00E42166"/>
    <w:rsid w:val="00E43CA1"/>
    <w:rsid w:val="00E5119E"/>
    <w:rsid w:val="00E53020"/>
    <w:rsid w:val="00E8054E"/>
    <w:rsid w:val="00E87131"/>
    <w:rsid w:val="00E875C0"/>
    <w:rsid w:val="00E9102E"/>
    <w:rsid w:val="00EA3C7B"/>
    <w:rsid w:val="00EB5A92"/>
    <w:rsid w:val="00EB5F30"/>
    <w:rsid w:val="00EC1394"/>
    <w:rsid w:val="00EE26F3"/>
    <w:rsid w:val="00EF5C56"/>
    <w:rsid w:val="00F0143E"/>
    <w:rsid w:val="00F05896"/>
    <w:rsid w:val="00F07546"/>
    <w:rsid w:val="00F11F77"/>
    <w:rsid w:val="00F26223"/>
    <w:rsid w:val="00F279EE"/>
    <w:rsid w:val="00F339DB"/>
    <w:rsid w:val="00F36109"/>
    <w:rsid w:val="00F37DEC"/>
    <w:rsid w:val="00F41004"/>
    <w:rsid w:val="00F426F1"/>
    <w:rsid w:val="00F52DA0"/>
    <w:rsid w:val="00F55472"/>
    <w:rsid w:val="00F55FA6"/>
    <w:rsid w:val="00F61D0F"/>
    <w:rsid w:val="00F776BA"/>
    <w:rsid w:val="00F92F2F"/>
    <w:rsid w:val="00FB4433"/>
    <w:rsid w:val="00FB6529"/>
    <w:rsid w:val="00FD4721"/>
    <w:rsid w:val="00FD5C04"/>
    <w:rsid w:val="00FD7CB4"/>
    <w:rsid w:val="00FE18CF"/>
    <w:rsid w:val="00FE5590"/>
    <w:rsid w:val="00FF3B83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E432"/>
  <w15:chartTrackingRefBased/>
  <w15:docId w15:val="{99517003-30E7-4718-B48D-D6EEB0F0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7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80457"/>
    <w:rPr>
      <w:color w:val="0000FF"/>
      <w:u w:val="single"/>
    </w:rPr>
  </w:style>
  <w:style w:type="paragraph" w:styleId="Revision">
    <w:name w:val="Revision"/>
    <w:hidden/>
    <w:uiPriority w:val="99"/>
    <w:semiHidden/>
    <w:rsid w:val="00880A3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80A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A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A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A3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7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200"/>
  </w:style>
  <w:style w:type="paragraph" w:styleId="Footer">
    <w:name w:val="footer"/>
    <w:basedOn w:val="Normal"/>
    <w:link w:val="FooterChar"/>
    <w:uiPriority w:val="99"/>
    <w:unhideWhenUsed/>
    <w:rsid w:val="00877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Gulley, Nicola (CSI - Planning &amp; Environment Decisions Wales)</dc:creator>
  <cp:keywords/>
  <dc:description/>
  <cp:lastModifiedBy>Stevens, Ian (CSI - Planning &amp; Environment Decisions Wales)</cp:lastModifiedBy>
  <cp:revision>119</cp:revision>
  <dcterms:created xsi:type="dcterms:W3CDTF">2025-09-23T07:43:00Z</dcterms:created>
  <dcterms:modified xsi:type="dcterms:W3CDTF">2025-09-23T15:15:00Z</dcterms:modified>
</cp:coreProperties>
</file>