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F0CF" w14:textId="6BB2C586" w:rsidR="00C21C1B" w:rsidRPr="000A57E7" w:rsidRDefault="00241CCF" w:rsidP="00C21C1B">
      <w:pPr>
        <w:spacing w:after="0"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CARMARTHENSHIRE</w:t>
      </w:r>
    </w:p>
    <w:p w14:paraId="3382164F" w14:textId="289BE431" w:rsidR="00C21C1B" w:rsidRPr="000A57E7" w:rsidRDefault="00241CCF" w:rsidP="00C21C1B">
      <w:pPr>
        <w:spacing w:after="5" w:line="360" w:lineRule="auto"/>
        <w:ind w:left="721" w:hanging="721"/>
        <w:jc w:val="center"/>
        <w:rPr>
          <w:rFonts w:ascii="Arial" w:eastAsia="Verdana" w:hAnsi="Arial" w:cs="Arial"/>
          <w:b/>
          <w:color w:val="000000"/>
          <w:sz w:val="24"/>
          <w:szCs w:val="24"/>
          <w:lang w:eastAsia="en-GB"/>
        </w:rPr>
      </w:pPr>
      <w:r>
        <w:rPr>
          <w:rFonts w:ascii="Arial" w:eastAsia="Verdana" w:hAnsi="Arial" w:cs="Arial"/>
          <w:b/>
          <w:color w:val="000000"/>
          <w:sz w:val="24"/>
          <w:szCs w:val="24"/>
          <w:lang w:eastAsia="en-GB"/>
        </w:rPr>
        <w:t>REVISED</w:t>
      </w:r>
      <w:r w:rsidR="00C21C1B" w:rsidRPr="000A57E7">
        <w:rPr>
          <w:rFonts w:ascii="Arial" w:eastAsia="Verdana" w:hAnsi="Arial" w:cs="Arial"/>
          <w:b/>
          <w:color w:val="000000"/>
          <w:sz w:val="24"/>
          <w:szCs w:val="24"/>
          <w:lang w:eastAsia="en-GB"/>
        </w:rPr>
        <w:t xml:space="preserve"> LOCAL DEVELOPMENT PLAN (2018-2033)</w:t>
      </w:r>
    </w:p>
    <w:p w14:paraId="209E97C3" w14:textId="77777777" w:rsidR="00C21C1B" w:rsidRPr="000A57E7" w:rsidRDefault="00C21C1B" w:rsidP="00C21C1B">
      <w:pPr>
        <w:spacing w:after="0" w:line="360" w:lineRule="auto"/>
        <w:ind w:left="721" w:hanging="721"/>
        <w:jc w:val="center"/>
        <w:rPr>
          <w:rFonts w:ascii="Arial" w:eastAsia="Verdana" w:hAnsi="Arial" w:cs="Arial"/>
          <w:b/>
          <w:color w:val="000000"/>
          <w:sz w:val="24"/>
          <w:szCs w:val="24"/>
          <w:lang w:eastAsia="en-GB"/>
        </w:rPr>
      </w:pPr>
      <w:r w:rsidRPr="000A57E7">
        <w:rPr>
          <w:rFonts w:ascii="Arial" w:eastAsia="Verdana" w:hAnsi="Arial" w:cs="Arial"/>
          <w:b/>
          <w:color w:val="000000"/>
          <w:sz w:val="24"/>
          <w:szCs w:val="24"/>
          <w:lang w:eastAsia="en-GB"/>
        </w:rPr>
        <w:t>EXAMINATION</w:t>
      </w:r>
      <w:r w:rsidR="00F16C22">
        <w:rPr>
          <w:rFonts w:ascii="Arial" w:eastAsia="Verdana" w:hAnsi="Arial" w:cs="Arial"/>
          <w:b/>
          <w:color w:val="000000"/>
          <w:sz w:val="24"/>
          <w:szCs w:val="24"/>
          <w:lang w:eastAsia="en-GB"/>
        </w:rPr>
        <w:pict w14:anchorId="4E0CF3A5">
          <v:rect id="_x0000_i1025" style="width:0;height:1.5pt" o:hralign="center" o:hrstd="t" o:hr="t" fillcolor="#a0a0a0" stroked="f"/>
        </w:pict>
      </w:r>
    </w:p>
    <w:p w14:paraId="518042BA" w14:textId="1A962241" w:rsidR="00C21C1B" w:rsidRDefault="00C21C1B" w:rsidP="00C21C1B">
      <w:pPr>
        <w:jc w:val="center"/>
        <w:rPr>
          <w:rFonts w:ascii="Arial" w:hAnsi="Arial" w:cs="Arial"/>
          <w:b/>
          <w:bCs/>
          <w:sz w:val="24"/>
          <w:szCs w:val="24"/>
        </w:rPr>
      </w:pPr>
      <w:r>
        <w:rPr>
          <w:rFonts w:ascii="Arial" w:hAnsi="Arial" w:cs="Arial"/>
          <w:b/>
          <w:bCs/>
          <w:sz w:val="24"/>
          <w:szCs w:val="24"/>
        </w:rPr>
        <w:t>AGENDA</w:t>
      </w:r>
    </w:p>
    <w:p w14:paraId="0CACE71E" w14:textId="5DA956E2" w:rsidR="00C21C1B" w:rsidRDefault="00C21C1B" w:rsidP="00C21C1B">
      <w:pPr>
        <w:jc w:val="center"/>
        <w:rPr>
          <w:rFonts w:ascii="Arial" w:hAnsi="Arial" w:cs="Arial"/>
          <w:b/>
          <w:bCs/>
          <w:sz w:val="24"/>
          <w:szCs w:val="24"/>
        </w:rPr>
      </w:pPr>
      <w:r>
        <w:rPr>
          <w:rFonts w:ascii="Arial" w:hAnsi="Arial" w:cs="Arial"/>
          <w:b/>
          <w:bCs/>
          <w:sz w:val="24"/>
          <w:szCs w:val="24"/>
        </w:rPr>
        <w:t>for</w:t>
      </w:r>
    </w:p>
    <w:p w14:paraId="251A7D56" w14:textId="7B17CEB3" w:rsidR="00E06FED" w:rsidRDefault="00C21C1B" w:rsidP="00C21C1B">
      <w:pPr>
        <w:jc w:val="center"/>
        <w:rPr>
          <w:rFonts w:ascii="Arial" w:hAnsi="Arial" w:cs="Arial"/>
          <w:b/>
          <w:bCs/>
          <w:sz w:val="24"/>
          <w:szCs w:val="24"/>
        </w:rPr>
      </w:pPr>
      <w:r w:rsidRPr="00C21C1B">
        <w:rPr>
          <w:rFonts w:ascii="Arial" w:hAnsi="Arial" w:cs="Arial"/>
          <w:b/>
          <w:bCs/>
          <w:sz w:val="24"/>
          <w:szCs w:val="24"/>
        </w:rPr>
        <w:t xml:space="preserve">Hearing Session </w:t>
      </w:r>
      <w:r w:rsidR="00371191">
        <w:rPr>
          <w:rFonts w:ascii="Arial" w:hAnsi="Arial" w:cs="Arial"/>
          <w:b/>
          <w:bCs/>
          <w:sz w:val="24"/>
          <w:szCs w:val="24"/>
        </w:rPr>
        <w:t>4</w:t>
      </w:r>
      <w:r w:rsidR="004073A0">
        <w:rPr>
          <w:rFonts w:ascii="Arial" w:hAnsi="Arial" w:cs="Arial"/>
          <w:b/>
          <w:bCs/>
          <w:sz w:val="24"/>
          <w:szCs w:val="24"/>
        </w:rPr>
        <w:t xml:space="preserve"> </w:t>
      </w:r>
      <w:r w:rsidR="00371191">
        <w:rPr>
          <w:rFonts w:ascii="Arial" w:hAnsi="Arial" w:cs="Arial"/>
          <w:b/>
          <w:bCs/>
          <w:sz w:val="24"/>
          <w:szCs w:val="24"/>
        </w:rPr>
        <w:t>Tuesday</w:t>
      </w:r>
      <w:r w:rsidR="004073A0">
        <w:rPr>
          <w:rFonts w:ascii="Arial" w:hAnsi="Arial" w:cs="Arial"/>
          <w:b/>
          <w:bCs/>
          <w:sz w:val="24"/>
          <w:szCs w:val="24"/>
        </w:rPr>
        <w:t xml:space="preserve"> </w:t>
      </w:r>
      <w:r w:rsidR="00371191">
        <w:rPr>
          <w:rFonts w:ascii="Arial" w:hAnsi="Arial" w:cs="Arial"/>
          <w:b/>
          <w:bCs/>
          <w:sz w:val="24"/>
          <w:szCs w:val="24"/>
        </w:rPr>
        <w:t>22</w:t>
      </w:r>
      <w:r w:rsidR="00241CCF">
        <w:rPr>
          <w:rFonts w:ascii="Arial" w:hAnsi="Arial" w:cs="Arial"/>
          <w:b/>
          <w:bCs/>
          <w:sz w:val="24"/>
          <w:szCs w:val="24"/>
        </w:rPr>
        <w:t xml:space="preserve"> October 2024</w:t>
      </w:r>
      <w:r w:rsidRPr="00C21C1B">
        <w:rPr>
          <w:rFonts w:ascii="Arial" w:hAnsi="Arial" w:cs="Arial"/>
          <w:b/>
          <w:bCs/>
          <w:sz w:val="24"/>
          <w:szCs w:val="24"/>
        </w:rPr>
        <w:t xml:space="preserve"> 10:00</w:t>
      </w:r>
      <w:r w:rsidR="003914E9">
        <w:rPr>
          <w:rFonts w:ascii="Arial" w:hAnsi="Arial" w:cs="Arial"/>
          <w:b/>
          <w:bCs/>
          <w:sz w:val="24"/>
          <w:szCs w:val="24"/>
        </w:rPr>
        <w:t xml:space="preserve"> – 17:00</w:t>
      </w:r>
    </w:p>
    <w:p w14:paraId="377419E5" w14:textId="0859AA34" w:rsidR="003914E9" w:rsidRDefault="003914E9" w:rsidP="00C21C1B">
      <w:pPr>
        <w:jc w:val="center"/>
        <w:rPr>
          <w:rFonts w:ascii="Arial" w:hAnsi="Arial" w:cs="Arial"/>
          <w:b/>
          <w:bCs/>
          <w:sz w:val="24"/>
          <w:szCs w:val="24"/>
        </w:rPr>
      </w:pPr>
      <w:r>
        <w:rPr>
          <w:rFonts w:ascii="Arial" w:hAnsi="Arial" w:cs="Arial"/>
          <w:b/>
          <w:bCs/>
          <w:sz w:val="24"/>
          <w:szCs w:val="24"/>
        </w:rPr>
        <w:t>Virtual Hearing</w:t>
      </w:r>
    </w:p>
    <w:p w14:paraId="64FD71BE" w14:textId="77777777" w:rsidR="00371191" w:rsidRDefault="00371191" w:rsidP="00C21C1B">
      <w:pPr>
        <w:jc w:val="center"/>
        <w:rPr>
          <w:rFonts w:ascii="Arial" w:hAnsi="Arial" w:cs="Arial"/>
          <w:b/>
          <w:bCs/>
          <w:sz w:val="24"/>
          <w:szCs w:val="24"/>
        </w:rPr>
      </w:pPr>
    </w:p>
    <w:p w14:paraId="6939CAC9" w14:textId="77777777" w:rsidR="00371191" w:rsidRPr="00371191" w:rsidRDefault="00371191" w:rsidP="00371191">
      <w:pPr>
        <w:keepNext/>
        <w:keepLines/>
        <w:spacing w:after="1" w:line="260" w:lineRule="auto"/>
        <w:ind w:left="-5" w:hanging="10"/>
        <w:outlineLvl w:val="0"/>
        <w:rPr>
          <w:rFonts w:ascii="Arial" w:eastAsia="Arial" w:hAnsi="Arial" w:cs="Arial"/>
          <w:b/>
          <w:kern w:val="2"/>
          <w:sz w:val="24"/>
          <w:szCs w:val="24"/>
          <w:lang w:eastAsia="en-GB"/>
          <w14:ligatures w14:val="standardContextual"/>
        </w:rPr>
      </w:pPr>
      <w:r w:rsidRPr="00371191">
        <w:rPr>
          <w:rFonts w:ascii="Arial" w:eastAsia="Arial" w:hAnsi="Arial" w:cs="Arial"/>
          <w:b/>
          <w:kern w:val="2"/>
          <w:sz w:val="24"/>
          <w:szCs w:val="24"/>
          <w:lang w:eastAsia="en-GB"/>
          <w14:ligatures w14:val="standardContextual"/>
        </w:rPr>
        <w:t xml:space="preserve">Matter 4: </w:t>
      </w:r>
      <w:r w:rsidRPr="00371191">
        <w:rPr>
          <w:rFonts w:ascii="Arial" w:eastAsia="Arial" w:hAnsi="Arial" w:cs="Arial"/>
          <w:b/>
          <w:bCs/>
          <w:kern w:val="2"/>
          <w:sz w:val="24"/>
          <w:szCs w:val="24"/>
          <w:lang w:eastAsia="en-GB"/>
          <w14:ligatures w14:val="standardContextual"/>
        </w:rPr>
        <w:t xml:space="preserve">Prosperous </w:t>
      </w:r>
      <w:r w:rsidRPr="00371191">
        <w:rPr>
          <w:rFonts w:ascii="Arial" w:eastAsia="Arial" w:hAnsi="Arial" w:cs="Arial"/>
          <w:b/>
          <w:kern w:val="2"/>
          <w:sz w:val="24"/>
          <w:szCs w:val="24"/>
          <w:lang w:eastAsia="en-GB"/>
          <w14:ligatures w14:val="standardContextual"/>
        </w:rPr>
        <w:t>Pe</w:t>
      </w:r>
      <w:r w:rsidRPr="00371191">
        <w:rPr>
          <w:rFonts w:ascii="Arial" w:eastAsia="Arial" w:hAnsi="Arial" w:cs="Arial"/>
          <w:b/>
          <w:bCs/>
          <w:kern w:val="2"/>
          <w:sz w:val="24"/>
          <w:szCs w:val="24"/>
          <w:lang w:eastAsia="en-GB"/>
          <w14:ligatures w14:val="standardContextual"/>
        </w:rPr>
        <w:t xml:space="preserve">ople and Places – Employment, the </w:t>
      </w:r>
      <w:bookmarkStart w:id="0" w:name="_Hlk171579399"/>
      <w:r w:rsidRPr="00371191">
        <w:rPr>
          <w:rFonts w:ascii="Arial" w:eastAsia="Arial" w:hAnsi="Arial" w:cs="Arial"/>
          <w:b/>
          <w:bCs/>
          <w:kern w:val="2"/>
          <w:sz w:val="24"/>
          <w:szCs w:val="24"/>
          <w:lang w:eastAsia="en-GB"/>
          <w14:ligatures w14:val="standardContextual"/>
        </w:rPr>
        <w:t>Visitor Economy and Infrastructure</w:t>
      </w:r>
    </w:p>
    <w:bookmarkEnd w:id="0"/>
    <w:p w14:paraId="6925742F" w14:textId="77777777" w:rsidR="00371191" w:rsidRPr="00371191" w:rsidRDefault="00371191" w:rsidP="00371191">
      <w:pPr>
        <w:spacing w:after="0"/>
        <w:rPr>
          <w:rFonts w:ascii="Arial" w:eastAsia="Arial" w:hAnsi="Arial" w:cs="Arial"/>
          <w:kern w:val="2"/>
          <w:sz w:val="24"/>
          <w:szCs w:val="24"/>
          <w:lang w:eastAsia="en-GB"/>
          <w14:ligatures w14:val="standardContextual"/>
        </w:rPr>
      </w:pPr>
    </w:p>
    <w:p w14:paraId="5CE70FE1" w14:textId="77777777" w:rsidR="00371191" w:rsidRPr="00371191" w:rsidRDefault="00371191" w:rsidP="00371191">
      <w:pPr>
        <w:spacing w:after="1" w:line="260" w:lineRule="auto"/>
        <w:ind w:left="-5" w:right="27" w:hanging="10"/>
        <w:rPr>
          <w:rFonts w:ascii="Arial" w:eastAsia="Arial" w:hAnsi="Arial" w:cs="Arial"/>
          <w:kern w:val="2"/>
          <w:sz w:val="24"/>
          <w:szCs w:val="24"/>
          <w:lang w:eastAsia="en-GB"/>
          <w14:ligatures w14:val="standardContextual"/>
        </w:rPr>
      </w:pPr>
      <w:r w:rsidRPr="00371191">
        <w:rPr>
          <w:rFonts w:ascii="Arial" w:eastAsia="Arial" w:hAnsi="Arial" w:cs="Arial"/>
          <w:i/>
          <w:kern w:val="2"/>
          <w:sz w:val="24"/>
          <w:szCs w:val="24"/>
          <w:lang w:eastAsia="en-GB"/>
          <w14:ligatures w14:val="standardContextual"/>
        </w:rPr>
        <w:t xml:space="preserve">Issue - Is the economic strategy coherent and based on a clear and robust preparation process? Will it address the Issues and Strategic Objectives effectively and efficiently? Are the policies realistic and appropriate in the light of relevant alternatives and are they based on robust and credible evidence? </w:t>
      </w:r>
    </w:p>
    <w:p w14:paraId="27591EA7" w14:textId="77777777" w:rsidR="00371191" w:rsidRPr="00371191" w:rsidRDefault="00371191" w:rsidP="00371191">
      <w:pPr>
        <w:spacing w:after="0"/>
        <w:rPr>
          <w:rFonts w:ascii="Arial" w:eastAsia="Arial" w:hAnsi="Arial" w:cs="Arial"/>
          <w:kern w:val="2"/>
          <w:sz w:val="24"/>
          <w:szCs w:val="24"/>
          <w:lang w:eastAsia="en-GB"/>
          <w14:ligatures w14:val="standardContextual"/>
        </w:rPr>
      </w:pPr>
      <w:r w:rsidRPr="00371191">
        <w:rPr>
          <w:rFonts w:ascii="Arial" w:eastAsia="Arial" w:hAnsi="Arial" w:cs="Arial"/>
          <w:b/>
          <w:kern w:val="2"/>
          <w:sz w:val="24"/>
          <w:szCs w:val="24"/>
          <w:lang w:eastAsia="en-GB"/>
          <w14:ligatures w14:val="standardContextual"/>
        </w:rPr>
        <w:t xml:space="preserve"> </w:t>
      </w:r>
    </w:p>
    <w:p w14:paraId="20F9C66F" w14:textId="77777777" w:rsidR="00371191" w:rsidRPr="00371191" w:rsidRDefault="00371191" w:rsidP="00371191">
      <w:pPr>
        <w:spacing w:after="1" w:line="260" w:lineRule="auto"/>
        <w:ind w:left="-5" w:right="27" w:hanging="10"/>
        <w:rPr>
          <w:rFonts w:ascii="Arial" w:eastAsia="Arial" w:hAnsi="Arial" w:cs="Arial"/>
          <w:kern w:val="2"/>
          <w:sz w:val="24"/>
          <w:szCs w:val="24"/>
          <w:lang w:eastAsia="en-GB"/>
          <w14:ligatures w14:val="standardContextual"/>
        </w:rPr>
      </w:pPr>
      <w:r w:rsidRPr="00371191">
        <w:rPr>
          <w:rFonts w:ascii="Arial" w:eastAsia="Arial" w:hAnsi="Arial" w:cs="Arial"/>
          <w:i/>
          <w:kern w:val="2"/>
          <w:sz w:val="24"/>
          <w:szCs w:val="24"/>
          <w:lang w:eastAsia="en-GB"/>
          <w14:ligatures w14:val="standardContextual"/>
        </w:rPr>
        <w:t xml:space="preserve">Employment </w:t>
      </w:r>
    </w:p>
    <w:p w14:paraId="293E5B08" w14:textId="77777777" w:rsidR="00371191" w:rsidRPr="00371191" w:rsidRDefault="00371191" w:rsidP="00371191">
      <w:pPr>
        <w:spacing w:after="0"/>
        <w:rPr>
          <w:rFonts w:ascii="Arial" w:eastAsia="Arial" w:hAnsi="Arial" w:cs="Arial"/>
          <w:kern w:val="2"/>
          <w:sz w:val="24"/>
          <w:szCs w:val="24"/>
          <w:lang w:eastAsia="en-GB"/>
          <w14:ligatures w14:val="standardContextual"/>
        </w:rPr>
      </w:pPr>
    </w:p>
    <w:p w14:paraId="5836F90D" w14:textId="77777777" w:rsidR="00371191" w:rsidRPr="00371191" w:rsidRDefault="00371191" w:rsidP="00371191">
      <w:pPr>
        <w:spacing w:after="35"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1.</w:t>
      </w:r>
      <w:r w:rsidRPr="00371191">
        <w:rPr>
          <w:rFonts w:ascii="Arial" w:eastAsia="Arial" w:hAnsi="Arial" w:cs="Arial"/>
          <w:kern w:val="2"/>
          <w:sz w:val="24"/>
          <w:szCs w:val="24"/>
          <w:lang w:eastAsia="en-GB"/>
          <w14:ligatures w14:val="standardContextual"/>
        </w:rPr>
        <w:tab/>
        <w:t xml:space="preserve">Is the Housing and Economic Growth Report based on robust and credible evidence? And are the findings sufficient to inform the Plan’s economic strategy? </w:t>
      </w:r>
    </w:p>
    <w:p w14:paraId="4FFD5BF0" w14:textId="77777777" w:rsidR="00371191" w:rsidRPr="00371191" w:rsidRDefault="00371191" w:rsidP="00371191">
      <w:pPr>
        <w:spacing w:after="3"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2.</w:t>
      </w:r>
      <w:r w:rsidRPr="00371191">
        <w:rPr>
          <w:rFonts w:ascii="Arial" w:eastAsia="Arial" w:hAnsi="Arial" w:cs="Arial"/>
          <w:kern w:val="2"/>
          <w:sz w:val="24"/>
          <w:szCs w:val="24"/>
          <w:lang w:eastAsia="en-GB"/>
          <w14:ligatures w14:val="standardContextual"/>
        </w:rPr>
        <w:tab/>
        <w:t xml:space="preserve">What are the key drivers for change in Carmarthenshire’s employment market? And how has the Plan addressed these considerations? </w:t>
      </w:r>
    </w:p>
    <w:p w14:paraId="45BCD576" w14:textId="77777777" w:rsidR="00371191" w:rsidRPr="00371191" w:rsidRDefault="00371191" w:rsidP="00371191">
      <w:pPr>
        <w:spacing w:after="3"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3.</w:t>
      </w:r>
      <w:r w:rsidRPr="00371191">
        <w:rPr>
          <w:rFonts w:ascii="Arial" w:eastAsia="Arial" w:hAnsi="Arial" w:cs="Arial"/>
          <w:kern w:val="2"/>
          <w:sz w:val="24"/>
          <w:szCs w:val="24"/>
          <w:lang w:eastAsia="en-GB"/>
          <w14:ligatures w14:val="standardContextual"/>
        </w:rPr>
        <w:tab/>
        <w:t xml:space="preserve">How many new jobs are estimated to be created </w:t>
      </w:r>
      <w:proofErr w:type="gramStart"/>
      <w:r w:rsidRPr="00371191">
        <w:rPr>
          <w:rFonts w:ascii="Arial" w:eastAsia="Arial" w:hAnsi="Arial" w:cs="Arial"/>
          <w:kern w:val="2"/>
          <w:sz w:val="24"/>
          <w:szCs w:val="24"/>
          <w:lang w:eastAsia="en-GB"/>
          <w14:ligatures w14:val="standardContextual"/>
        </w:rPr>
        <w:t>as a consequence of</w:t>
      </w:r>
      <w:proofErr w:type="gramEnd"/>
      <w:r w:rsidRPr="00371191">
        <w:rPr>
          <w:rFonts w:ascii="Arial" w:eastAsia="Arial" w:hAnsi="Arial" w:cs="Arial"/>
          <w:kern w:val="2"/>
          <w:sz w:val="24"/>
          <w:szCs w:val="24"/>
          <w:lang w:eastAsia="en-GB"/>
          <w14:ligatures w14:val="standardContextual"/>
        </w:rPr>
        <w:t xml:space="preserve"> the Plan’s economic strategy? And in what sectors? </w:t>
      </w:r>
    </w:p>
    <w:p w14:paraId="7855F072" w14:textId="77777777" w:rsidR="00371191" w:rsidRPr="00371191" w:rsidRDefault="00371191" w:rsidP="00371191">
      <w:pPr>
        <w:spacing w:after="36"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4.</w:t>
      </w:r>
      <w:r w:rsidRPr="00371191">
        <w:rPr>
          <w:rFonts w:ascii="Arial" w:eastAsia="Arial" w:hAnsi="Arial" w:cs="Arial"/>
          <w:kern w:val="2"/>
          <w:sz w:val="24"/>
          <w:szCs w:val="24"/>
          <w:lang w:eastAsia="en-GB"/>
          <w14:ligatures w14:val="standardContextual"/>
        </w:rPr>
        <w:tab/>
        <w:t xml:space="preserve">What is the cross-border employment relationship? What proportion of the existing jobs within Carmarthenshire are filled by employees from outside the County? </w:t>
      </w:r>
    </w:p>
    <w:p w14:paraId="13F64ACA" w14:textId="77777777" w:rsidR="00371191" w:rsidRPr="00371191" w:rsidRDefault="00371191" w:rsidP="00371191">
      <w:pPr>
        <w:spacing w:after="36"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5.</w:t>
      </w:r>
      <w:r w:rsidRPr="00371191">
        <w:rPr>
          <w:rFonts w:ascii="Arial" w:eastAsia="Arial" w:hAnsi="Arial" w:cs="Arial"/>
          <w:kern w:val="2"/>
          <w:sz w:val="24"/>
          <w:szCs w:val="24"/>
          <w:lang w:eastAsia="en-GB"/>
          <w14:ligatures w14:val="standardContextual"/>
        </w:rPr>
        <w:tab/>
        <w:t xml:space="preserve">How many of Carmarthenshire’s residents travel to work outside the County? And how has this movement been accounted for in its employment forecasts? </w:t>
      </w:r>
    </w:p>
    <w:p w14:paraId="6A9FE725" w14:textId="77777777" w:rsidR="00371191" w:rsidRPr="00371191" w:rsidRDefault="00371191" w:rsidP="00371191">
      <w:pPr>
        <w:spacing w:after="36"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6.</w:t>
      </w:r>
      <w:r w:rsidRPr="00371191">
        <w:rPr>
          <w:rFonts w:ascii="Arial" w:eastAsia="Arial" w:hAnsi="Arial" w:cs="Arial"/>
          <w:kern w:val="2"/>
          <w:sz w:val="24"/>
          <w:szCs w:val="24"/>
          <w:lang w:eastAsia="en-GB"/>
          <w14:ligatures w14:val="standardContextual"/>
        </w:rPr>
        <w:tab/>
        <w:t>Are the sites allocated under Policy SP6 based on robust and credible evidence? And should they be subject to specific policies which provide a clear framework for development?</w:t>
      </w:r>
    </w:p>
    <w:p w14:paraId="13736663" w14:textId="77777777" w:rsidR="00371191" w:rsidRPr="00371191" w:rsidRDefault="00371191" w:rsidP="00371191">
      <w:pPr>
        <w:spacing w:after="3"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7.</w:t>
      </w:r>
      <w:r w:rsidRPr="00371191">
        <w:rPr>
          <w:rFonts w:ascii="Arial" w:eastAsia="Arial" w:hAnsi="Arial" w:cs="Arial"/>
          <w:kern w:val="2"/>
          <w:sz w:val="24"/>
          <w:szCs w:val="24"/>
          <w:lang w:eastAsia="en-GB"/>
          <w14:ligatures w14:val="standardContextual"/>
        </w:rPr>
        <w:tab/>
        <w:t xml:space="preserve">Is the level of employment land provision identified in Policy SP7 appropriate? </w:t>
      </w:r>
    </w:p>
    <w:p w14:paraId="4D2BA5AD" w14:textId="77777777" w:rsidR="00371191" w:rsidRPr="00371191" w:rsidRDefault="00371191" w:rsidP="00371191">
      <w:pPr>
        <w:numPr>
          <w:ilvl w:val="1"/>
          <w:numId w:val="24"/>
        </w:numPr>
        <w:spacing w:after="3" w:line="263" w:lineRule="auto"/>
        <w:ind w:right="68" w:hanging="360"/>
        <w:jc w:val="both"/>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 xml:space="preserve">How has the overall figure of 71.21 hectares been derived? Is the level of employment land provision fully justified and supported by robust and credible evidence?  </w:t>
      </w:r>
    </w:p>
    <w:p w14:paraId="1E7FC327" w14:textId="77777777" w:rsidR="00371191" w:rsidRPr="00371191" w:rsidRDefault="00371191" w:rsidP="00371191">
      <w:pPr>
        <w:numPr>
          <w:ilvl w:val="1"/>
          <w:numId w:val="24"/>
        </w:numPr>
        <w:spacing w:after="3" w:line="263" w:lineRule="auto"/>
        <w:ind w:right="68" w:hanging="360"/>
        <w:jc w:val="both"/>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 xml:space="preserve">Does Policy EME 3 clearly differentiate between allocated and committed sites? Are the sites realistic and economically viable? And are they free from significant constraint and deliverable over the Plan period? </w:t>
      </w:r>
    </w:p>
    <w:p w14:paraId="266E78D3" w14:textId="77777777" w:rsidR="00371191" w:rsidRPr="00371191" w:rsidRDefault="00371191" w:rsidP="00371191">
      <w:pPr>
        <w:numPr>
          <w:ilvl w:val="1"/>
          <w:numId w:val="24"/>
        </w:numPr>
        <w:spacing w:after="33" w:line="263" w:lineRule="auto"/>
        <w:ind w:right="68" w:hanging="360"/>
        <w:jc w:val="both"/>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lastRenderedPageBreak/>
        <w:t xml:space="preserve">Is the hierarchy of employment sites appropriate and consistent with the requirements of national planning policy?  </w:t>
      </w:r>
    </w:p>
    <w:p w14:paraId="771DFF54" w14:textId="77777777" w:rsidR="00371191" w:rsidRPr="00371191" w:rsidRDefault="00371191" w:rsidP="00371191">
      <w:pPr>
        <w:numPr>
          <w:ilvl w:val="1"/>
          <w:numId w:val="24"/>
        </w:numPr>
        <w:spacing w:after="3" w:line="263" w:lineRule="auto"/>
        <w:ind w:right="68" w:hanging="360"/>
        <w:jc w:val="both"/>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 xml:space="preserve">What is the Plan’s strategy for the distribution of employment land? Does it have regard to the requirements of Future Wales – The National Plan and other regeneration initiatives?  </w:t>
      </w:r>
    </w:p>
    <w:p w14:paraId="54D9410F" w14:textId="77777777" w:rsidR="00371191" w:rsidRPr="00371191" w:rsidRDefault="00371191" w:rsidP="00371191">
      <w:pPr>
        <w:numPr>
          <w:ilvl w:val="1"/>
          <w:numId w:val="24"/>
        </w:numPr>
        <w:spacing w:after="3" w:line="263" w:lineRule="auto"/>
        <w:ind w:right="68" w:hanging="360"/>
        <w:jc w:val="both"/>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 xml:space="preserve">Are all the sites allocated in Policies SP7 and EME3 intended to be developed for B1, B2 and B8 purposes only? If not, should the policies be amended to make clear the other intended / potential use(s)? </w:t>
      </w:r>
    </w:p>
    <w:p w14:paraId="2DA1CCEB" w14:textId="77777777" w:rsidR="00371191" w:rsidRPr="00371191" w:rsidRDefault="00371191" w:rsidP="00371191">
      <w:pPr>
        <w:numPr>
          <w:ilvl w:val="1"/>
          <w:numId w:val="24"/>
        </w:numPr>
        <w:spacing w:after="3" w:line="263" w:lineRule="auto"/>
        <w:ind w:right="68" w:hanging="360"/>
        <w:jc w:val="both"/>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 xml:space="preserve">Should details of the non-strategic employment allocations be included in the Plan?  </w:t>
      </w:r>
    </w:p>
    <w:p w14:paraId="333F1F80" w14:textId="77777777" w:rsidR="00371191" w:rsidRPr="00371191" w:rsidRDefault="00371191" w:rsidP="00371191">
      <w:pPr>
        <w:spacing w:after="3"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8.</w:t>
      </w:r>
      <w:r w:rsidRPr="00371191">
        <w:rPr>
          <w:rFonts w:ascii="Arial" w:eastAsia="Arial" w:hAnsi="Arial" w:cs="Arial"/>
          <w:kern w:val="2"/>
          <w:sz w:val="24"/>
          <w:szCs w:val="24"/>
          <w:lang w:eastAsia="en-GB"/>
          <w14:ligatures w14:val="standardContextual"/>
        </w:rPr>
        <w:tab/>
        <w:t xml:space="preserve">Does Policy EME1 provide an appropriate framework for the safeguarding of employment sites? </w:t>
      </w:r>
    </w:p>
    <w:p w14:paraId="17A839F5" w14:textId="77777777" w:rsidR="00371191" w:rsidRPr="00371191" w:rsidRDefault="00371191" w:rsidP="00371191">
      <w:pPr>
        <w:spacing w:after="3"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9.</w:t>
      </w:r>
      <w:r w:rsidRPr="00371191">
        <w:rPr>
          <w:rFonts w:ascii="Arial" w:eastAsia="Arial" w:hAnsi="Arial" w:cs="Arial"/>
          <w:kern w:val="2"/>
          <w:sz w:val="24"/>
          <w:szCs w:val="24"/>
          <w:lang w:eastAsia="en-GB"/>
          <w14:ligatures w14:val="standardContextual"/>
        </w:rPr>
        <w:tab/>
        <w:t>What is the purpose of Policy EME2? Does it apply to development in rural and urban areas?</w:t>
      </w:r>
    </w:p>
    <w:p w14:paraId="2BC43848" w14:textId="77777777" w:rsidR="00371191" w:rsidRPr="00371191" w:rsidRDefault="00371191" w:rsidP="00371191">
      <w:pPr>
        <w:spacing w:after="3" w:line="263" w:lineRule="auto"/>
        <w:ind w:left="370"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10. Is the approach taken in Policy EME4 to employment development on non-allocated sites within and outside development limits, clearly expressed, sufficiently flexible to respond to changing circumstances, and consistent with national planning policy?</w:t>
      </w:r>
    </w:p>
    <w:p w14:paraId="21AFF88D" w14:textId="77777777" w:rsidR="00371191" w:rsidRPr="00371191" w:rsidRDefault="00371191" w:rsidP="00371191">
      <w:pPr>
        <w:spacing w:after="3" w:line="263" w:lineRule="auto"/>
        <w:ind w:left="370" w:right="59" w:hanging="370"/>
        <w:rPr>
          <w:rFonts w:ascii="Arial" w:eastAsia="Arial" w:hAnsi="Arial" w:cs="Arial"/>
          <w:kern w:val="2"/>
          <w:sz w:val="24"/>
          <w:szCs w:val="24"/>
          <w:lang w:eastAsia="en-GB"/>
          <w14:ligatures w14:val="standardContextual"/>
        </w:rPr>
      </w:pPr>
    </w:p>
    <w:p w14:paraId="76DEFD41" w14:textId="77777777" w:rsidR="00371191" w:rsidRPr="00371191" w:rsidRDefault="00371191" w:rsidP="00371191">
      <w:pPr>
        <w:keepNext/>
        <w:keepLines/>
        <w:spacing w:after="1" w:line="260" w:lineRule="auto"/>
        <w:ind w:left="-5" w:hanging="10"/>
        <w:outlineLvl w:val="0"/>
        <w:rPr>
          <w:rFonts w:ascii="Arial" w:eastAsia="Arial" w:hAnsi="Arial" w:cs="Arial"/>
          <w:i/>
          <w:kern w:val="2"/>
          <w:sz w:val="24"/>
          <w:szCs w:val="24"/>
          <w:lang w:eastAsia="en-GB"/>
          <w14:ligatures w14:val="standardContextual"/>
        </w:rPr>
      </w:pPr>
      <w:r w:rsidRPr="00371191">
        <w:rPr>
          <w:rFonts w:ascii="Arial" w:eastAsia="Arial" w:hAnsi="Arial" w:cs="Arial"/>
          <w:i/>
          <w:iCs/>
          <w:kern w:val="2"/>
          <w:sz w:val="24"/>
          <w:szCs w:val="24"/>
          <w:lang w:eastAsia="en-GB"/>
          <w14:ligatures w14:val="standardContextual"/>
        </w:rPr>
        <w:t xml:space="preserve">Visitor Economy and </w:t>
      </w:r>
      <w:r w:rsidRPr="00371191">
        <w:rPr>
          <w:rFonts w:ascii="Arial" w:eastAsia="Arial" w:hAnsi="Arial" w:cs="Arial"/>
          <w:i/>
          <w:kern w:val="2"/>
          <w:sz w:val="24"/>
          <w:szCs w:val="24"/>
          <w:lang w:eastAsia="en-GB"/>
          <w14:ligatures w14:val="standardContextual"/>
        </w:rPr>
        <w:t>Equestrian Related Development</w:t>
      </w:r>
    </w:p>
    <w:p w14:paraId="63A6A41E" w14:textId="77777777" w:rsidR="00371191" w:rsidRPr="00371191" w:rsidRDefault="00371191" w:rsidP="00371191">
      <w:pPr>
        <w:spacing w:after="3" w:line="263" w:lineRule="auto"/>
        <w:ind w:left="370" w:right="32" w:hanging="370"/>
        <w:rPr>
          <w:rFonts w:ascii="Arial" w:eastAsia="Arial" w:hAnsi="Arial" w:cs="Arial"/>
          <w:color w:val="000000"/>
          <w:kern w:val="2"/>
          <w:sz w:val="24"/>
          <w:szCs w:val="24"/>
          <w:lang w:eastAsia="en-GB"/>
          <w14:ligatures w14:val="standardContextual"/>
        </w:rPr>
      </w:pPr>
    </w:p>
    <w:p w14:paraId="0AF2F655" w14:textId="77777777" w:rsidR="00371191" w:rsidRPr="00371191" w:rsidRDefault="00371191" w:rsidP="00371191">
      <w:pPr>
        <w:numPr>
          <w:ilvl w:val="0"/>
          <w:numId w:val="24"/>
        </w:numPr>
        <w:spacing w:after="3" w:line="263" w:lineRule="auto"/>
        <w:ind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 xml:space="preserve">How will the Plan maintain and enhance the County’s tourism, culture and leisure offer? </w:t>
      </w:r>
    </w:p>
    <w:p w14:paraId="25E0CFC8" w14:textId="77777777" w:rsidR="00371191" w:rsidRPr="00371191" w:rsidRDefault="00371191" w:rsidP="00371191">
      <w:pPr>
        <w:numPr>
          <w:ilvl w:val="0"/>
          <w:numId w:val="24"/>
        </w:numPr>
        <w:spacing w:after="3" w:line="263" w:lineRule="auto"/>
        <w:ind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Will Policy VE1 provide an appropriate mechanism for the management of new visitor attractions and facilities in the County? And are the requirements of the policy clearly expressed?</w:t>
      </w:r>
    </w:p>
    <w:p w14:paraId="3C8FE846" w14:textId="77777777" w:rsidR="00371191" w:rsidRPr="00371191" w:rsidRDefault="00371191" w:rsidP="00371191">
      <w:pPr>
        <w:numPr>
          <w:ilvl w:val="0"/>
          <w:numId w:val="24"/>
        </w:numPr>
        <w:spacing w:after="3" w:line="263" w:lineRule="auto"/>
        <w:ind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Do Policies VE2, VE3 and VE4 provide an appropriate framework for the management of visitor accommodation in the County?</w:t>
      </w:r>
    </w:p>
    <w:p w14:paraId="77CE9D3E" w14:textId="77777777" w:rsidR="00371191" w:rsidRPr="00371191" w:rsidRDefault="00371191" w:rsidP="00371191">
      <w:pPr>
        <w:numPr>
          <w:ilvl w:val="0"/>
          <w:numId w:val="24"/>
        </w:numPr>
        <w:spacing w:after="3" w:line="263" w:lineRule="auto"/>
        <w:ind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 xml:space="preserve">Should the Gateway Resort and </w:t>
      </w:r>
      <w:proofErr w:type="spellStart"/>
      <w:r w:rsidRPr="00371191">
        <w:rPr>
          <w:rFonts w:ascii="Arial" w:eastAsia="Arial" w:hAnsi="Arial" w:cs="Arial"/>
          <w:kern w:val="2"/>
          <w:sz w:val="24"/>
          <w:szCs w:val="24"/>
          <w:lang w:eastAsia="en-GB"/>
          <w14:ligatures w14:val="standardContextual"/>
        </w:rPr>
        <w:t>Garnant</w:t>
      </w:r>
      <w:proofErr w:type="spellEnd"/>
      <w:r w:rsidRPr="00371191">
        <w:rPr>
          <w:rFonts w:ascii="Arial" w:eastAsia="Arial" w:hAnsi="Arial" w:cs="Arial"/>
          <w:kern w:val="2"/>
          <w:sz w:val="24"/>
          <w:szCs w:val="24"/>
          <w:lang w:eastAsia="en-GB"/>
          <w14:ligatures w14:val="standardContextual"/>
        </w:rPr>
        <w:t xml:space="preserve"> Golf Club be designated as a tourism facility?</w:t>
      </w:r>
    </w:p>
    <w:p w14:paraId="4C734F3B" w14:textId="77777777" w:rsidR="00371191" w:rsidRPr="00371191" w:rsidRDefault="00371191" w:rsidP="00371191">
      <w:pPr>
        <w:numPr>
          <w:ilvl w:val="0"/>
          <w:numId w:val="24"/>
        </w:numPr>
        <w:spacing w:after="3" w:line="263" w:lineRule="auto"/>
        <w:ind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Does Policy RD5 provide an appropriate framework for assessing proposals for new equestrian facilities?</w:t>
      </w:r>
    </w:p>
    <w:p w14:paraId="7EB36013" w14:textId="77777777" w:rsidR="00371191" w:rsidRPr="00371191" w:rsidRDefault="00371191" w:rsidP="00371191">
      <w:pPr>
        <w:spacing w:after="3" w:line="263" w:lineRule="auto"/>
        <w:ind w:left="360" w:right="59"/>
        <w:rPr>
          <w:rFonts w:ascii="Arial" w:eastAsia="Arial" w:hAnsi="Arial" w:cs="Arial"/>
          <w:kern w:val="2"/>
          <w:sz w:val="24"/>
          <w:szCs w:val="24"/>
          <w:lang w:eastAsia="en-GB"/>
          <w14:ligatures w14:val="standardContextual"/>
        </w:rPr>
      </w:pPr>
    </w:p>
    <w:p w14:paraId="4279AA58" w14:textId="77777777" w:rsidR="00371191" w:rsidRPr="00371191" w:rsidRDefault="00371191" w:rsidP="00371191">
      <w:pPr>
        <w:spacing w:after="3" w:line="263" w:lineRule="auto"/>
        <w:ind w:right="59"/>
        <w:rPr>
          <w:rFonts w:ascii="Arial" w:eastAsia="Arial" w:hAnsi="Arial" w:cs="Arial"/>
          <w:i/>
          <w:iCs/>
          <w:kern w:val="2"/>
          <w:sz w:val="24"/>
          <w:szCs w:val="24"/>
          <w:lang w:eastAsia="en-GB"/>
          <w14:ligatures w14:val="standardContextual"/>
        </w:rPr>
      </w:pPr>
      <w:r w:rsidRPr="00371191">
        <w:rPr>
          <w:rFonts w:ascii="Arial" w:eastAsia="Arial" w:hAnsi="Arial" w:cs="Arial"/>
          <w:i/>
          <w:iCs/>
          <w:kern w:val="2"/>
          <w:sz w:val="24"/>
          <w:szCs w:val="24"/>
          <w:lang w:eastAsia="en-GB"/>
          <w14:ligatures w14:val="standardContextual"/>
        </w:rPr>
        <w:t>Infrastructure</w:t>
      </w:r>
    </w:p>
    <w:p w14:paraId="5088CC1B" w14:textId="77777777" w:rsidR="00371191" w:rsidRPr="00371191" w:rsidRDefault="00371191" w:rsidP="00371191">
      <w:pPr>
        <w:spacing w:after="3" w:line="263" w:lineRule="auto"/>
        <w:ind w:right="59"/>
        <w:rPr>
          <w:rFonts w:ascii="Arial" w:eastAsia="Arial" w:hAnsi="Arial" w:cs="Arial"/>
          <w:i/>
          <w:iCs/>
          <w:kern w:val="2"/>
          <w:sz w:val="24"/>
          <w:szCs w:val="24"/>
          <w:lang w:eastAsia="en-GB"/>
          <w14:ligatures w14:val="standardContextual"/>
        </w:rPr>
      </w:pPr>
    </w:p>
    <w:p w14:paraId="2B0B155B" w14:textId="77777777" w:rsidR="00371191" w:rsidRPr="00371191" w:rsidRDefault="00371191" w:rsidP="00371191">
      <w:pPr>
        <w:numPr>
          <w:ilvl w:val="0"/>
          <w:numId w:val="24"/>
        </w:numPr>
        <w:spacing w:after="3" w:line="263" w:lineRule="auto"/>
        <w:ind w:right="59" w:hanging="370"/>
        <w:rPr>
          <w:rFonts w:ascii="Arial" w:eastAsia="Arial" w:hAnsi="Arial" w:cs="Arial"/>
          <w:kern w:val="2"/>
          <w:sz w:val="24"/>
          <w:szCs w:val="24"/>
          <w:lang w:eastAsia="en-GB"/>
          <w14:ligatures w14:val="standardContextual"/>
        </w:rPr>
      </w:pPr>
      <w:r w:rsidRPr="00371191">
        <w:rPr>
          <w:rFonts w:ascii="Arial" w:eastAsia="Arial" w:hAnsi="Arial" w:cs="Arial"/>
          <w:kern w:val="2"/>
          <w:sz w:val="24"/>
          <w:szCs w:val="24"/>
          <w:lang w:eastAsia="en-GB"/>
          <w14:ligatures w14:val="standardContextual"/>
        </w:rPr>
        <w:t>Are the requirements of Policy INF3 for the provision of Broadband appropriate and consistent with national planning policy?</w:t>
      </w:r>
    </w:p>
    <w:p w14:paraId="633F0CF6" w14:textId="77777777" w:rsidR="00371191" w:rsidRPr="00371191" w:rsidRDefault="00371191" w:rsidP="00371191">
      <w:pPr>
        <w:spacing w:after="0"/>
        <w:rPr>
          <w:rFonts w:ascii="Arial" w:eastAsia="Arial" w:hAnsi="Arial" w:cs="Arial"/>
          <w:bCs/>
          <w:kern w:val="2"/>
          <w:sz w:val="24"/>
          <w:szCs w:val="24"/>
          <w:lang w:eastAsia="en-GB"/>
          <w14:ligatures w14:val="standardContextual"/>
        </w:rPr>
      </w:pPr>
    </w:p>
    <w:p w14:paraId="29D8E0AF" w14:textId="77777777" w:rsidR="008167B9" w:rsidRDefault="008167B9" w:rsidP="008167B9">
      <w:pPr>
        <w:spacing w:after="3" w:line="263" w:lineRule="auto"/>
        <w:ind w:right="32"/>
        <w:rPr>
          <w:rFonts w:ascii="Arial" w:eastAsia="Arial" w:hAnsi="Arial" w:cs="Arial"/>
          <w:b/>
          <w:bCs/>
          <w:kern w:val="2"/>
          <w:sz w:val="24"/>
          <w:szCs w:val="24"/>
          <w:lang w:eastAsia="en-GB"/>
          <w14:ligatures w14:val="standardContextual"/>
        </w:rPr>
      </w:pPr>
    </w:p>
    <w:sectPr w:rsidR="008167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53403"/>
    <w:multiLevelType w:val="hybridMultilevel"/>
    <w:tmpl w:val="B5D06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70A5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E0546C"/>
    <w:multiLevelType w:val="hybridMultilevel"/>
    <w:tmpl w:val="5A722F6C"/>
    <w:lvl w:ilvl="0" w:tplc="6A1E637A">
      <w:start w:val="1"/>
      <w:numFmt w:val="lowerLetter"/>
      <w:lvlText w:val="%1)"/>
      <w:lvlJc w:val="left"/>
      <w:pPr>
        <w:ind w:left="720" w:hanging="360"/>
      </w:pPr>
      <w:rPr>
        <w:rFonts w:ascii="Verdana" w:eastAsia="Times New Roman" w:hAnsi="Verdana" w:cs="Verdana"/>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04458C"/>
    <w:multiLevelType w:val="hybridMultilevel"/>
    <w:tmpl w:val="890C07EE"/>
    <w:lvl w:ilvl="0" w:tplc="799E2CA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0C55E4">
      <w:start w:val="1"/>
      <w:numFmt w:val="lowerLetter"/>
      <w:lvlText w:val="%2)"/>
      <w:lvlJc w:val="left"/>
      <w:pPr>
        <w:ind w:left="705"/>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2" w:tplc="420C55E4">
      <w:start w:val="1"/>
      <w:numFmt w:val="lowerLetter"/>
      <w:lvlText w:val="%3)"/>
      <w:lvlJc w:val="left"/>
      <w:pPr>
        <w:ind w:left="1800" w:hanging="360"/>
      </w:pPr>
      <w:rPr>
        <w:rFonts w:ascii="Arial" w:eastAsia="Verdana" w:hAnsi="Arial" w:cs="Arial" w:hint="default"/>
        <w:b w:val="0"/>
        <w:i w:val="0"/>
        <w:strike w:val="0"/>
        <w:dstrike w:val="0"/>
        <w:color w:val="000000"/>
        <w:sz w:val="24"/>
        <w:szCs w:val="24"/>
        <w:u w:val="none" w:color="000000"/>
        <w:bdr w:val="none" w:sz="0" w:space="0" w:color="auto"/>
        <w:shd w:val="clear" w:color="auto" w:fill="auto"/>
        <w:vertAlign w:val="baseline"/>
      </w:rPr>
    </w:lvl>
    <w:lvl w:ilvl="3" w:tplc="C4D0DFD2">
      <w:start w:val="1"/>
      <w:numFmt w:val="decimal"/>
      <w:lvlText w:val="%4"/>
      <w:lvlJc w:val="left"/>
      <w:pPr>
        <w:ind w:left="2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FA6A5012">
      <w:start w:val="1"/>
      <w:numFmt w:val="lowerLetter"/>
      <w:lvlText w:val="%5"/>
      <w:lvlJc w:val="left"/>
      <w:pPr>
        <w:ind w:left="28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24F67D00">
      <w:start w:val="1"/>
      <w:numFmt w:val="lowerRoman"/>
      <w:lvlText w:val="%6"/>
      <w:lvlJc w:val="left"/>
      <w:pPr>
        <w:ind w:left="36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E74DF76">
      <w:start w:val="1"/>
      <w:numFmt w:val="decimal"/>
      <w:lvlText w:val="%7"/>
      <w:lvlJc w:val="left"/>
      <w:pPr>
        <w:ind w:left="43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92812DC">
      <w:start w:val="1"/>
      <w:numFmt w:val="lowerLetter"/>
      <w:lvlText w:val="%8"/>
      <w:lvlJc w:val="left"/>
      <w:pPr>
        <w:ind w:left="50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C2F2309C">
      <w:start w:val="1"/>
      <w:numFmt w:val="lowerRoman"/>
      <w:lvlText w:val="%9"/>
      <w:lvlJc w:val="left"/>
      <w:pPr>
        <w:ind w:left="57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958C9"/>
    <w:multiLevelType w:val="hybridMultilevel"/>
    <w:tmpl w:val="3C1EC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D17C53"/>
    <w:multiLevelType w:val="hybridMultilevel"/>
    <w:tmpl w:val="47C0E97C"/>
    <w:lvl w:ilvl="0" w:tplc="9B6849F0">
      <w:start w:val="1"/>
      <w:numFmt w:val="decimal"/>
      <w:lvlText w:val="%1."/>
      <w:lvlJc w:val="left"/>
      <w:pPr>
        <w:ind w:left="720" w:hanging="360"/>
      </w:pPr>
      <w:rPr>
        <w:rFonts w:ascii="Arial" w:eastAsiaTheme="minorHAnsi" w:hAnsi="Arial" w:cs="Arial"/>
      </w:rPr>
    </w:lvl>
    <w:lvl w:ilvl="1" w:tplc="00A4E86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AA7931"/>
    <w:multiLevelType w:val="hybridMultilevel"/>
    <w:tmpl w:val="E6E69DA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1E4E8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8D77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202B9B"/>
    <w:multiLevelType w:val="hybridMultilevel"/>
    <w:tmpl w:val="E92CCFEE"/>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BF07B5"/>
    <w:multiLevelType w:val="hybridMultilevel"/>
    <w:tmpl w:val="71BA85D0"/>
    <w:lvl w:ilvl="0" w:tplc="A82C202A">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C01F0E"/>
    <w:multiLevelType w:val="hybridMultilevel"/>
    <w:tmpl w:val="2E5AA42E"/>
    <w:lvl w:ilvl="0" w:tplc="08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585A0F9C">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62DEA">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266D9C">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A983C86">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762CD54">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96A490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8C71C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2ECC62">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B3B7B5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3280C85"/>
    <w:multiLevelType w:val="hybridMultilevel"/>
    <w:tmpl w:val="F88463E0"/>
    <w:lvl w:ilvl="0" w:tplc="03E0247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8496CA">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2654E2">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5908334">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7CBF2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3907D90">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1AE5D2E">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2A3CE">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3F0C69A">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96730A"/>
    <w:multiLevelType w:val="hybridMultilevel"/>
    <w:tmpl w:val="AA867190"/>
    <w:lvl w:ilvl="0" w:tplc="08090017">
      <w:start w:val="1"/>
      <w:numFmt w:val="lowerLetter"/>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854F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FDB4622"/>
    <w:multiLevelType w:val="hybridMultilevel"/>
    <w:tmpl w:val="FFCE48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30AB3"/>
    <w:multiLevelType w:val="hybridMultilevel"/>
    <w:tmpl w:val="612A2798"/>
    <w:lvl w:ilvl="0" w:tplc="443407BE">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3E1B6E">
      <w:start w:val="1"/>
      <w:numFmt w:val="lowerLetter"/>
      <w:lvlText w:val="%2)"/>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C2B0B8">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350D960">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D6B87C">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98E9A12">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4C065F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06F8A4">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2AAA1A8">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3B92044"/>
    <w:multiLevelType w:val="hybridMultilevel"/>
    <w:tmpl w:val="5A8C02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166E3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A1621CE"/>
    <w:multiLevelType w:val="hybridMultilevel"/>
    <w:tmpl w:val="29445F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9639BE"/>
    <w:multiLevelType w:val="hybridMultilevel"/>
    <w:tmpl w:val="D7740D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E6902"/>
    <w:multiLevelType w:val="hybridMultilevel"/>
    <w:tmpl w:val="9A58AB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4018E0"/>
    <w:multiLevelType w:val="hybridMultilevel"/>
    <w:tmpl w:val="FA763038"/>
    <w:lvl w:ilvl="0" w:tplc="08090017">
      <w:start w:val="1"/>
      <w:numFmt w:val="lowerLetter"/>
      <w:lvlText w:val="%1)"/>
      <w:lvlJc w:val="left"/>
      <w:pPr>
        <w:ind w:left="720" w:hanging="360"/>
      </w:p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2014803">
    <w:abstractNumId w:val="5"/>
  </w:num>
  <w:num w:numId="2" w16cid:durableId="1743286473">
    <w:abstractNumId w:val="23"/>
  </w:num>
  <w:num w:numId="3" w16cid:durableId="532498610">
    <w:abstractNumId w:val="14"/>
  </w:num>
  <w:num w:numId="4" w16cid:durableId="585530833">
    <w:abstractNumId w:val="9"/>
  </w:num>
  <w:num w:numId="5" w16cid:durableId="258222297">
    <w:abstractNumId w:val="2"/>
  </w:num>
  <w:num w:numId="6" w16cid:durableId="1402482138">
    <w:abstractNumId w:val="18"/>
  </w:num>
  <w:num w:numId="7" w16cid:durableId="893929091">
    <w:abstractNumId w:val="0"/>
  </w:num>
  <w:num w:numId="8" w16cid:durableId="1260257579">
    <w:abstractNumId w:val="16"/>
  </w:num>
  <w:num w:numId="9" w16cid:durableId="30307703">
    <w:abstractNumId w:val="4"/>
  </w:num>
  <w:num w:numId="10" w16cid:durableId="1965312458">
    <w:abstractNumId w:val="20"/>
  </w:num>
  <w:num w:numId="11" w16cid:durableId="1728257012">
    <w:abstractNumId w:val="3"/>
  </w:num>
  <w:num w:numId="12" w16cid:durableId="225385946">
    <w:abstractNumId w:val="21"/>
  </w:num>
  <w:num w:numId="13" w16cid:durableId="325402251">
    <w:abstractNumId w:val="8"/>
  </w:num>
  <w:num w:numId="14" w16cid:durableId="1153908854">
    <w:abstractNumId w:val="1"/>
  </w:num>
  <w:num w:numId="15" w16cid:durableId="1059404361">
    <w:abstractNumId w:val="12"/>
  </w:num>
  <w:num w:numId="16" w16cid:durableId="1224482482">
    <w:abstractNumId w:val="7"/>
  </w:num>
  <w:num w:numId="17" w16cid:durableId="1547985817">
    <w:abstractNumId w:val="13"/>
  </w:num>
  <w:num w:numId="18" w16cid:durableId="84814190">
    <w:abstractNumId w:val="15"/>
  </w:num>
  <w:num w:numId="19" w16cid:durableId="1382486146">
    <w:abstractNumId w:val="11"/>
  </w:num>
  <w:num w:numId="20" w16cid:durableId="875965928">
    <w:abstractNumId w:val="6"/>
  </w:num>
  <w:num w:numId="21" w16cid:durableId="1526212405">
    <w:abstractNumId w:val="19"/>
  </w:num>
  <w:num w:numId="22" w16cid:durableId="195505681">
    <w:abstractNumId w:val="22"/>
  </w:num>
  <w:num w:numId="23" w16cid:durableId="178198771">
    <w:abstractNumId w:val="10"/>
  </w:num>
  <w:num w:numId="24" w16cid:durableId="18784208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1B"/>
    <w:rsid w:val="00020DAB"/>
    <w:rsid w:val="001167F1"/>
    <w:rsid w:val="0023347D"/>
    <w:rsid w:val="00241CCF"/>
    <w:rsid w:val="002455A8"/>
    <w:rsid w:val="00321ED8"/>
    <w:rsid w:val="00371191"/>
    <w:rsid w:val="003914E9"/>
    <w:rsid w:val="004073A0"/>
    <w:rsid w:val="00494209"/>
    <w:rsid w:val="00717470"/>
    <w:rsid w:val="008167B9"/>
    <w:rsid w:val="008E6643"/>
    <w:rsid w:val="0090089B"/>
    <w:rsid w:val="00983C90"/>
    <w:rsid w:val="00A168ED"/>
    <w:rsid w:val="00B50819"/>
    <w:rsid w:val="00C21C1B"/>
    <w:rsid w:val="00DC657D"/>
    <w:rsid w:val="00E06FED"/>
    <w:rsid w:val="00E14214"/>
    <w:rsid w:val="00E3530A"/>
    <w:rsid w:val="00F16C22"/>
    <w:rsid w:val="00F202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6AF4E5"/>
  <w15:chartTrackingRefBased/>
  <w15:docId w15:val="{0B8D5C57-7941-49F4-8AD5-F2C114C7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C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1B"/>
    <w:pPr>
      <w:ind w:left="720"/>
      <w:contextualSpacing/>
    </w:pPr>
  </w:style>
  <w:style w:type="table" w:styleId="TableGrid">
    <w:name w:val="Table Grid"/>
    <w:basedOn w:val="TableNormal"/>
    <w:uiPriority w:val="39"/>
    <w:rsid w:val="004073A0"/>
    <w:pPr>
      <w:spacing w:after="0" w:line="240" w:lineRule="auto"/>
    </w:pPr>
    <w:rPr>
      <w:rFonts w:eastAsia="Times New Roman"/>
      <w:kern w:val="2"/>
      <w:sz w:val="24"/>
      <w:szCs w:val="24"/>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3197</Characters>
  <Application>Microsoft Office Word</Application>
  <DocSecurity>0</DocSecurity>
  <Lines>26</Lines>
  <Paragraphs>7</Paragraphs>
  <ScaleCrop>false</ScaleCrop>
  <Company>Bridgend County Borough Council</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Borge</dc:creator>
  <cp:keywords/>
  <dc:description/>
  <cp:lastModifiedBy>G Corinne Sloley</cp:lastModifiedBy>
  <cp:revision>2</cp:revision>
  <dcterms:created xsi:type="dcterms:W3CDTF">2024-10-04T16:01:00Z</dcterms:created>
  <dcterms:modified xsi:type="dcterms:W3CDTF">2024-10-04T16:01:00Z</dcterms:modified>
</cp:coreProperties>
</file>