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F11A" w14:textId="77777777" w:rsidR="001A6AC5" w:rsidRPr="00693189" w:rsidRDefault="001A6AC5" w:rsidP="001A6AC5">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6FEB6455" w14:textId="77777777" w:rsidR="001A6AC5" w:rsidRDefault="001A6AC5" w:rsidP="001A6AC5">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347514AE" w14:textId="77777777" w:rsidR="001A6AC5" w:rsidRPr="00693189" w:rsidRDefault="001A6AC5" w:rsidP="001A6AC5">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0AA71E2C" w14:textId="472AF35D" w:rsidR="001A6AC5" w:rsidRDefault="001A6AC5" w:rsidP="001A6AC5">
      <w:pPr>
        <w:jc w:val="center"/>
        <w:rPr>
          <w:rFonts w:ascii="Arial" w:hAnsi="Arial" w:cs="Arial"/>
          <w:b/>
          <w:bCs/>
          <w:sz w:val="24"/>
          <w:szCs w:val="24"/>
        </w:rPr>
      </w:pPr>
      <w:r w:rsidRPr="00E21AE2">
        <w:rPr>
          <w:rFonts w:ascii="Arial" w:hAnsi="Arial" w:cs="Arial"/>
          <w:b/>
          <w:bCs/>
          <w:sz w:val="24"/>
          <w:szCs w:val="24"/>
        </w:rPr>
        <w:t xml:space="preserve">Hearing Session </w:t>
      </w:r>
      <w:r w:rsidR="003E63E0">
        <w:rPr>
          <w:rFonts w:ascii="Arial" w:hAnsi="Arial" w:cs="Arial"/>
          <w:b/>
          <w:bCs/>
          <w:sz w:val="24"/>
          <w:szCs w:val="24"/>
        </w:rPr>
        <w:t>9</w:t>
      </w:r>
      <w:r w:rsidRPr="00E21AE2">
        <w:rPr>
          <w:rFonts w:ascii="Arial" w:hAnsi="Arial" w:cs="Arial"/>
          <w:b/>
          <w:bCs/>
          <w:sz w:val="24"/>
          <w:szCs w:val="24"/>
        </w:rPr>
        <w:t xml:space="preserve"> </w:t>
      </w:r>
      <w:r>
        <w:rPr>
          <w:rFonts w:ascii="Arial" w:hAnsi="Arial" w:cs="Arial"/>
          <w:b/>
          <w:bCs/>
          <w:sz w:val="24"/>
          <w:szCs w:val="24"/>
        </w:rPr>
        <w:t>–</w:t>
      </w:r>
      <w:r w:rsidRPr="00E21AE2">
        <w:rPr>
          <w:rFonts w:ascii="Arial" w:hAnsi="Arial" w:cs="Arial"/>
          <w:b/>
          <w:bCs/>
          <w:sz w:val="24"/>
          <w:szCs w:val="24"/>
        </w:rPr>
        <w:t xml:space="preserve"> </w:t>
      </w:r>
      <w:r>
        <w:rPr>
          <w:rFonts w:ascii="Arial" w:hAnsi="Arial" w:cs="Arial"/>
          <w:b/>
          <w:bCs/>
          <w:sz w:val="24"/>
          <w:szCs w:val="24"/>
        </w:rPr>
        <w:t xml:space="preserve">Site Allocations (Cluster </w:t>
      </w:r>
      <w:r w:rsidR="003E63E0">
        <w:rPr>
          <w:rFonts w:ascii="Arial" w:hAnsi="Arial" w:cs="Arial"/>
          <w:b/>
          <w:bCs/>
          <w:sz w:val="24"/>
          <w:szCs w:val="24"/>
        </w:rPr>
        <w:t>3</w:t>
      </w:r>
      <w:r>
        <w:rPr>
          <w:rFonts w:ascii="Arial" w:hAnsi="Arial" w:cs="Arial"/>
          <w:b/>
          <w:bCs/>
          <w:sz w:val="24"/>
          <w:szCs w:val="24"/>
        </w:rPr>
        <w:t xml:space="preserve"> – </w:t>
      </w:r>
      <w:r w:rsidR="00AC6892" w:rsidRPr="00F96694">
        <w:rPr>
          <w:rFonts w:ascii="Arial" w:eastAsia="Arial" w:hAnsi="Arial" w:cs="Arial"/>
          <w:b/>
          <w:bCs/>
          <w:color w:val="000000"/>
          <w:sz w:val="24"/>
          <w:szCs w:val="24"/>
          <w:lang w:eastAsia="en-GB"/>
        </w:rPr>
        <w:t xml:space="preserve">Ammanford including </w:t>
      </w:r>
      <w:proofErr w:type="spellStart"/>
      <w:r w:rsidR="00AC6892" w:rsidRPr="00F96694">
        <w:rPr>
          <w:rFonts w:ascii="Arial" w:eastAsia="Arial" w:hAnsi="Arial" w:cs="Arial"/>
          <w:b/>
          <w:bCs/>
          <w:color w:val="000000"/>
          <w:sz w:val="24"/>
          <w:szCs w:val="24"/>
          <w:lang w:eastAsia="en-GB"/>
        </w:rPr>
        <w:t>Betws</w:t>
      </w:r>
      <w:proofErr w:type="spellEnd"/>
      <w:r w:rsidR="00AC6892" w:rsidRPr="00F96694">
        <w:rPr>
          <w:rFonts w:ascii="Arial" w:eastAsia="Arial" w:hAnsi="Arial" w:cs="Arial"/>
          <w:b/>
          <w:bCs/>
          <w:color w:val="000000"/>
          <w:sz w:val="24"/>
          <w:szCs w:val="24"/>
          <w:lang w:eastAsia="en-GB"/>
        </w:rPr>
        <w:t xml:space="preserve"> and Penybanc</w:t>
      </w:r>
      <w:r>
        <w:rPr>
          <w:rFonts w:ascii="Arial" w:hAnsi="Arial" w:cs="Arial"/>
          <w:b/>
          <w:bCs/>
          <w:sz w:val="24"/>
          <w:szCs w:val="24"/>
        </w:rPr>
        <w:t>)</w:t>
      </w:r>
    </w:p>
    <w:p w14:paraId="483D31FC" w14:textId="77777777" w:rsidR="001A6AC5" w:rsidRDefault="001A6AC5" w:rsidP="001A6AC5">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6374"/>
        <w:gridCol w:w="2642"/>
      </w:tblGrid>
      <w:tr w:rsidR="001A6AC5" w:rsidRPr="00693189" w14:paraId="715B9452" w14:textId="77777777" w:rsidTr="001A5460">
        <w:tc>
          <w:tcPr>
            <w:tcW w:w="6374" w:type="dxa"/>
          </w:tcPr>
          <w:p w14:paraId="6EB36CA2" w14:textId="77777777" w:rsidR="001A6AC5" w:rsidRPr="00AA6476" w:rsidRDefault="001A6AC5" w:rsidP="001A5460">
            <w:pPr>
              <w:rPr>
                <w:rFonts w:ascii="Arial" w:hAnsi="Arial" w:cs="Arial"/>
                <w:b/>
                <w:bCs/>
                <w:sz w:val="24"/>
                <w:szCs w:val="24"/>
              </w:rPr>
            </w:pPr>
            <w:r w:rsidRPr="00AA6476">
              <w:rPr>
                <w:rFonts w:ascii="Arial" w:hAnsi="Arial" w:cs="Arial"/>
                <w:b/>
                <w:bCs/>
                <w:sz w:val="24"/>
                <w:szCs w:val="24"/>
              </w:rPr>
              <w:t>Action Point</w:t>
            </w:r>
          </w:p>
        </w:tc>
        <w:tc>
          <w:tcPr>
            <w:tcW w:w="2642" w:type="dxa"/>
          </w:tcPr>
          <w:p w14:paraId="745B65C1" w14:textId="77777777" w:rsidR="001A6AC5" w:rsidRPr="00AA6476" w:rsidRDefault="001A6AC5" w:rsidP="001A5460">
            <w:pPr>
              <w:rPr>
                <w:rFonts w:ascii="Arial" w:hAnsi="Arial" w:cs="Arial"/>
                <w:b/>
                <w:bCs/>
                <w:sz w:val="24"/>
                <w:szCs w:val="24"/>
              </w:rPr>
            </w:pPr>
            <w:r w:rsidRPr="00AA6476">
              <w:rPr>
                <w:rFonts w:ascii="Arial" w:hAnsi="Arial" w:cs="Arial"/>
                <w:b/>
                <w:bCs/>
                <w:sz w:val="24"/>
                <w:szCs w:val="24"/>
              </w:rPr>
              <w:t>To be completed by</w:t>
            </w:r>
          </w:p>
        </w:tc>
      </w:tr>
      <w:tr w:rsidR="001A6AC5" w14:paraId="7825479C" w14:textId="77777777" w:rsidTr="001A5460">
        <w:tc>
          <w:tcPr>
            <w:tcW w:w="6374" w:type="dxa"/>
          </w:tcPr>
          <w:p w14:paraId="61560DB1" w14:textId="3E6C9B88" w:rsidR="001A6AC5" w:rsidRPr="00243755" w:rsidRDefault="001A6AC5" w:rsidP="001A6AC5">
            <w:pPr>
              <w:contextualSpacing/>
              <w:rPr>
                <w:rFonts w:ascii="Arial" w:hAnsi="Arial" w:cs="Arial"/>
                <w:sz w:val="24"/>
                <w:szCs w:val="24"/>
              </w:rPr>
            </w:pPr>
            <w:bookmarkStart w:id="0" w:name="_Hlk180569372"/>
            <w:r w:rsidRPr="00243755">
              <w:rPr>
                <w:rFonts w:ascii="Arial" w:hAnsi="Arial" w:cs="Arial"/>
                <w:b/>
                <w:bCs/>
                <w:kern w:val="0"/>
                <w:sz w:val="24"/>
                <w:szCs w:val="24"/>
                <w14:ligatures w14:val="none"/>
              </w:rPr>
              <w:t>AP</w:t>
            </w:r>
            <w:r w:rsidR="00AC6892">
              <w:rPr>
                <w:rFonts w:ascii="Arial" w:hAnsi="Arial" w:cs="Arial"/>
                <w:b/>
                <w:bCs/>
                <w:kern w:val="0"/>
                <w:sz w:val="24"/>
                <w:szCs w:val="24"/>
                <w14:ligatures w14:val="none"/>
              </w:rPr>
              <w:t>9</w:t>
            </w:r>
            <w:r w:rsidRPr="00243755">
              <w:rPr>
                <w:rFonts w:ascii="Arial" w:hAnsi="Arial" w:cs="Arial"/>
                <w:b/>
                <w:bCs/>
                <w:kern w:val="0"/>
                <w:sz w:val="24"/>
                <w:szCs w:val="24"/>
                <w14:ligatures w14:val="none"/>
              </w:rPr>
              <w:t>/1</w:t>
            </w:r>
            <w:r w:rsidRPr="00243755">
              <w:rPr>
                <w:rFonts w:ascii="Arial" w:hAnsi="Arial" w:cs="Arial"/>
                <w:kern w:val="0"/>
                <w:sz w:val="24"/>
                <w:szCs w:val="24"/>
                <w14:ligatures w14:val="none"/>
              </w:rPr>
              <w:t xml:space="preserve"> –</w:t>
            </w:r>
            <w:r>
              <w:rPr>
                <w:rFonts w:ascii="Arial" w:hAnsi="Arial" w:cs="Arial"/>
                <w:kern w:val="0"/>
                <w:sz w:val="24"/>
                <w:szCs w:val="24"/>
                <w14:ligatures w14:val="none"/>
              </w:rPr>
              <w:t xml:space="preserve"> Council to </w:t>
            </w:r>
            <w:r w:rsidR="00BF7BF1">
              <w:rPr>
                <w:rFonts w:ascii="Arial" w:hAnsi="Arial" w:cs="Arial"/>
                <w:kern w:val="0"/>
                <w:sz w:val="24"/>
                <w:szCs w:val="24"/>
                <w14:ligatures w14:val="none"/>
              </w:rPr>
              <w:t xml:space="preserve">provide a plan showing </w:t>
            </w:r>
            <w:r w:rsidR="0028541D">
              <w:rPr>
                <w:rFonts w:ascii="Arial" w:hAnsi="Arial" w:cs="Arial"/>
                <w:kern w:val="0"/>
                <w:sz w:val="24"/>
                <w:szCs w:val="24"/>
                <w14:ligatures w14:val="none"/>
              </w:rPr>
              <w:t xml:space="preserve">the proposed amended boundary </w:t>
            </w:r>
            <w:r w:rsidR="009F285F">
              <w:rPr>
                <w:rFonts w:ascii="Arial" w:hAnsi="Arial" w:cs="Arial"/>
                <w:kern w:val="0"/>
                <w:sz w:val="24"/>
                <w:szCs w:val="24"/>
                <w14:ligatures w14:val="none"/>
              </w:rPr>
              <w:t>for site allocation PrC3/MU1</w:t>
            </w:r>
            <w:r w:rsidR="007333E9">
              <w:rPr>
                <w:rFonts w:ascii="Arial" w:hAnsi="Arial" w:cs="Arial"/>
                <w:kern w:val="0"/>
                <w:sz w:val="24"/>
                <w:szCs w:val="24"/>
                <w14:ligatures w14:val="none"/>
              </w:rPr>
              <w:t xml:space="preserve">; and to review the delivery rate for phase 3 </w:t>
            </w:r>
            <w:r w:rsidR="00494924">
              <w:rPr>
                <w:rFonts w:ascii="Arial" w:hAnsi="Arial" w:cs="Arial"/>
                <w:kern w:val="0"/>
                <w:sz w:val="24"/>
                <w:szCs w:val="24"/>
                <w14:ligatures w14:val="none"/>
              </w:rPr>
              <w:t>of the site contained in the housing trajectory.</w:t>
            </w:r>
          </w:p>
        </w:tc>
        <w:tc>
          <w:tcPr>
            <w:tcW w:w="2642" w:type="dxa"/>
          </w:tcPr>
          <w:p w14:paraId="3D581B8A"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11FC1CC5" w14:textId="77777777" w:rsidTr="001A5460">
        <w:tc>
          <w:tcPr>
            <w:tcW w:w="6374" w:type="dxa"/>
          </w:tcPr>
          <w:p w14:paraId="49391AA4" w14:textId="4867848D" w:rsidR="001A6AC5" w:rsidRPr="00243755" w:rsidRDefault="001A6AC5" w:rsidP="001A5460">
            <w:pPr>
              <w:rPr>
                <w:rFonts w:ascii="Arial" w:hAnsi="Arial" w:cs="Arial"/>
                <w:sz w:val="24"/>
                <w:szCs w:val="24"/>
              </w:rPr>
            </w:pPr>
            <w:r w:rsidRPr="00243755">
              <w:rPr>
                <w:rFonts w:ascii="Arial" w:hAnsi="Arial" w:cs="Arial"/>
                <w:b/>
                <w:bCs/>
                <w:sz w:val="24"/>
                <w:szCs w:val="24"/>
              </w:rPr>
              <w:t>AP</w:t>
            </w:r>
            <w:r w:rsidR="00AC6892">
              <w:rPr>
                <w:rFonts w:ascii="Arial" w:hAnsi="Arial" w:cs="Arial"/>
                <w:b/>
                <w:bCs/>
                <w:sz w:val="24"/>
                <w:szCs w:val="24"/>
              </w:rPr>
              <w:t>9</w:t>
            </w:r>
            <w:r w:rsidRPr="00243755">
              <w:rPr>
                <w:rFonts w:ascii="Arial" w:hAnsi="Arial" w:cs="Arial"/>
                <w:b/>
                <w:bCs/>
                <w:sz w:val="24"/>
                <w:szCs w:val="24"/>
              </w:rPr>
              <w:t>/2</w:t>
            </w:r>
            <w:r w:rsidRPr="00243755">
              <w:rPr>
                <w:rFonts w:ascii="Arial" w:hAnsi="Arial" w:cs="Arial"/>
                <w:sz w:val="24"/>
                <w:szCs w:val="24"/>
              </w:rPr>
              <w:t xml:space="preserve"> – </w:t>
            </w:r>
            <w:r>
              <w:rPr>
                <w:rFonts w:ascii="Arial" w:hAnsi="Arial" w:cs="Arial"/>
                <w:sz w:val="24"/>
                <w:szCs w:val="24"/>
              </w:rPr>
              <w:t xml:space="preserve">Council to </w:t>
            </w:r>
            <w:r w:rsidR="008901F9">
              <w:rPr>
                <w:rFonts w:ascii="Arial" w:hAnsi="Arial" w:cs="Arial"/>
                <w:sz w:val="24"/>
                <w:szCs w:val="24"/>
              </w:rPr>
              <w:t xml:space="preserve">provide </w:t>
            </w:r>
            <w:r w:rsidR="000F67F1">
              <w:rPr>
                <w:rFonts w:ascii="Arial" w:hAnsi="Arial" w:cs="Arial"/>
                <w:sz w:val="24"/>
                <w:szCs w:val="24"/>
              </w:rPr>
              <w:t xml:space="preserve">a plan showing the indicative layout for up to 169 dwellings </w:t>
            </w:r>
            <w:r w:rsidR="00E65AB1">
              <w:rPr>
                <w:rFonts w:ascii="Arial" w:hAnsi="Arial" w:cs="Arial"/>
                <w:sz w:val="24"/>
                <w:szCs w:val="24"/>
              </w:rPr>
              <w:t xml:space="preserve">at the site allocation </w:t>
            </w:r>
            <w:r w:rsidR="008901F9">
              <w:rPr>
                <w:rFonts w:ascii="Arial" w:hAnsi="Arial" w:cs="Arial"/>
                <w:sz w:val="24"/>
                <w:szCs w:val="24"/>
              </w:rPr>
              <w:t>PrC3/h</w:t>
            </w:r>
            <w:r w:rsidR="00ED65B9">
              <w:rPr>
                <w:rFonts w:ascii="Arial" w:hAnsi="Arial" w:cs="Arial"/>
                <w:sz w:val="24"/>
                <w:szCs w:val="24"/>
              </w:rPr>
              <w:t xml:space="preserve">4; and </w:t>
            </w:r>
            <w:r w:rsidR="00ED65B9">
              <w:rPr>
                <w:rFonts w:ascii="Arial" w:hAnsi="Arial" w:cs="Arial"/>
                <w:kern w:val="0"/>
                <w:sz w:val="24"/>
                <w:szCs w:val="24"/>
                <w14:ligatures w14:val="none"/>
              </w:rPr>
              <w:t xml:space="preserve">to provide copies of </w:t>
            </w:r>
            <w:r w:rsidR="00ED65B9">
              <w:rPr>
                <w:rFonts w:ascii="Arial" w:hAnsi="Arial" w:cs="Arial"/>
                <w:sz w:val="24"/>
                <w:szCs w:val="24"/>
              </w:rPr>
              <w:t>ecological comments received during the site assessment process.</w:t>
            </w:r>
          </w:p>
        </w:tc>
        <w:tc>
          <w:tcPr>
            <w:tcW w:w="2642" w:type="dxa"/>
          </w:tcPr>
          <w:p w14:paraId="2EBFDFDE"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5082CE44" w14:textId="77777777" w:rsidTr="001A5460">
        <w:tc>
          <w:tcPr>
            <w:tcW w:w="6374" w:type="dxa"/>
          </w:tcPr>
          <w:p w14:paraId="0FE8723C" w14:textId="5C6E9D82" w:rsidR="001A6AC5" w:rsidRPr="00243755" w:rsidRDefault="001A6AC5" w:rsidP="001A5460">
            <w:pPr>
              <w:contextualSpacing/>
              <w:rPr>
                <w:rFonts w:ascii="Arial" w:hAnsi="Arial" w:cs="Arial"/>
                <w:sz w:val="24"/>
                <w:szCs w:val="24"/>
              </w:rPr>
            </w:pPr>
            <w:r w:rsidRPr="00243755">
              <w:rPr>
                <w:rFonts w:ascii="Arial" w:hAnsi="Arial" w:cs="Arial"/>
                <w:b/>
                <w:bCs/>
                <w:kern w:val="0"/>
                <w:sz w:val="24"/>
                <w:szCs w:val="24"/>
                <w14:ligatures w14:val="none"/>
              </w:rPr>
              <w:t>AP</w:t>
            </w:r>
            <w:r w:rsidR="00AC6892">
              <w:rPr>
                <w:rFonts w:ascii="Arial" w:hAnsi="Arial" w:cs="Arial"/>
                <w:b/>
                <w:bCs/>
                <w:kern w:val="0"/>
                <w:sz w:val="24"/>
                <w:szCs w:val="24"/>
                <w14:ligatures w14:val="none"/>
              </w:rPr>
              <w:t>9</w:t>
            </w:r>
            <w:r w:rsidRPr="00243755">
              <w:rPr>
                <w:rFonts w:ascii="Arial" w:hAnsi="Arial" w:cs="Arial"/>
                <w:b/>
                <w:bCs/>
                <w:kern w:val="0"/>
                <w:sz w:val="24"/>
                <w:szCs w:val="24"/>
                <w14:ligatures w14:val="none"/>
              </w:rPr>
              <w:t>/3</w:t>
            </w:r>
            <w:r w:rsidRPr="00243755">
              <w:rPr>
                <w:rFonts w:ascii="Arial" w:hAnsi="Arial" w:cs="Arial"/>
                <w:kern w:val="0"/>
                <w:sz w:val="24"/>
                <w:szCs w:val="24"/>
                <w14:ligatures w14:val="none"/>
              </w:rPr>
              <w:t xml:space="preserve"> </w:t>
            </w:r>
            <w:r>
              <w:rPr>
                <w:rFonts w:ascii="Arial" w:hAnsi="Arial" w:cs="Arial"/>
                <w:kern w:val="0"/>
                <w:sz w:val="24"/>
                <w:szCs w:val="24"/>
                <w14:ligatures w14:val="none"/>
              </w:rPr>
              <w:t>–</w:t>
            </w:r>
            <w:r w:rsidRPr="00243755">
              <w:rPr>
                <w:rFonts w:ascii="Arial" w:hAnsi="Arial" w:cs="Arial"/>
                <w:kern w:val="0"/>
                <w:sz w:val="24"/>
                <w:szCs w:val="24"/>
                <w14:ligatures w14:val="none"/>
              </w:rPr>
              <w:t xml:space="preserve"> </w:t>
            </w:r>
            <w:r w:rsidR="00741FCA">
              <w:rPr>
                <w:rFonts w:ascii="Arial" w:hAnsi="Arial" w:cs="Arial"/>
                <w:sz w:val="24"/>
                <w:szCs w:val="24"/>
              </w:rPr>
              <w:t xml:space="preserve">Council to </w:t>
            </w:r>
            <w:r w:rsidR="00741FCA">
              <w:rPr>
                <w:rFonts w:ascii="Arial" w:hAnsi="Arial" w:cs="Arial"/>
                <w:kern w:val="0"/>
                <w:sz w:val="24"/>
                <w:szCs w:val="24"/>
                <w14:ligatures w14:val="none"/>
              </w:rPr>
              <w:t xml:space="preserve">provide copies of consultee responses </w:t>
            </w:r>
            <w:r w:rsidR="008758E4">
              <w:rPr>
                <w:rFonts w:ascii="Arial" w:hAnsi="Arial" w:cs="Arial"/>
                <w:kern w:val="0"/>
                <w:sz w:val="24"/>
                <w:szCs w:val="24"/>
                <w14:ligatures w14:val="none"/>
              </w:rPr>
              <w:t xml:space="preserve">for allocation </w:t>
            </w:r>
            <w:r w:rsidR="00D82C38">
              <w:rPr>
                <w:rFonts w:ascii="Arial" w:hAnsi="Arial" w:cs="Arial"/>
                <w:kern w:val="0"/>
                <w:sz w:val="24"/>
                <w:szCs w:val="24"/>
                <w14:ligatures w14:val="none"/>
              </w:rPr>
              <w:t>PrC3/h6</w:t>
            </w:r>
            <w:r w:rsidR="002541A1">
              <w:rPr>
                <w:rFonts w:ascii="Arial" w:hAnsi="Arial" w:cs="Arial"/>
                <w:kern w:val="0"/>
                <w:sz w:val="24"/>
                <w:szCs w:val="24"/>
                <w14:ligatures w14:val="none"/>
              </w:rPr>
              <w:t xml:space="preserve"> in respect of coal mining and gas, and ecology. </w:t>
            </w:r>
          </w:p>
        </w:tc>
        <w:tc>
          <w:tcPr>
            <w:tcW w:w="2642" w:type="dxa"/>
          </w:tcPr>
          <w:p w14:paraId="637311E8"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007D93BA" w14:textId="77777777" w:rsidTr="001A5460">
        <w:tc>
          <w:tcPr>
            <w:tcW w:w="6374" w:type="dxa"/>
          </w:tcPr>
          <w:p w14:paraId="452FF080" w14:textId="53363A6E" w:rsidR="001A6AC5" w:rsidRPr="00AA6476" w:rsidRDefault="001A6AC5" w:rsidP="001A5460">
            <w:pPr>
              <w:contextualSpacing/>
              <w:rPr>
                <w:rFonts w:ascii="Arial" w:hAnsi="Arial" w:cs="Arial"/>
                <w:sz w:val="24"/>
                <w:szCs w:val="24"/>
              </w:rPr>
            </w:pPr>
            <w:r w:rsidRPr="00AA6476">
              <w:rPr>
                <w:rFonts w:ascii="Arial" w:hAnsi="Arial" w:cs="Arial"/>
                <w:b/>
                <w:bCs/>
                <w:kern w:val="0"/>
                <w:sz w:val="24"/>
                <w:szCs w:val="24"/>
                <w14:ligatures w14:val="none"/>
              </w:rPr>
              <w:t>AP</w:t>
            </w:r>
            <w:r w:rsidR="00AC6892">
              <w:rPr>
                <w:rFonts w:ascii="Arial" w:hAnsi="Arial" w:cs="Arial"/>
                <w:b/>
                <w:bCs/>
                <w:kern w:val="0"/>
                <w:sz w:val="24"/>
                <w:szCs w:val="24"/>
                <w14:ligatures w14:val="none"/>
              </w:rPr>
              <w:t>9</w:t>
            </w:r>
            <w:r w:rsidRPr="00AA6476">
              <w:rPr>
                <w:rFonts w:ascii="Arial" w:hAnsi="Arial" w:cs="Arial"/>
                <w:b/>
                <w:bCs/>
                <w:kern w:val="0"/>
                <w:sz w:val="24"/>
                <w:szCs w:val="24"/>
                <w14:ligatures w14:val="none"/>
              </w:rPr>
              <w:t>/</w:t>
            </w:r>
            <w:r>
              <w:rPr>
                <w:rFonts w:ascii="Arial" w:hAnsi="Arial" w:cs="Arial"/>
                <w:b/>
                <w:bCs/>
                <w:kern w:val="0"/>
                <w:sz w:val="24"/>
                <w:szCs w:val="24"/>
                <w14:ligatures w14:val="none"/>
              </w:rPr>
              <w:t>4</w:t>
            </w:r>
            <w:r w:rsidRPr="00AA6476">
              <w:rPr>
                <w:rFonts w:ascii="Arial" w:hAnsi="Arial" w:cs="Arial"/>
                <w:kern w:val="0"/>
                <w:sz w:val="24"/>
                <w:szCs w:val="24"/>
                <w14:ligatures w14:val="none"/>
              </w:rPr>
              <w:t xml:space="preserve"> </w:t>
            </w:r>
            <w:r>
              <w:rPr>
                <w:rFonts w:ascii="Arial" w:hAnsi="Arial" w:cs="Arial"/>
                <w:kern w:val="0"/>
                <w:sz w:val="24"/>
                <w:szCs w:val="24"/>
                <w14:ligatures w14:val="none"/>
              </w:rPr>
              <w:t xml:space="preserve">– </w:t>
            </w:r>
            <w:r w:rsidR="00BE379D">
              <w:rPr>
                <w:rFonts w:ascii="Arial" w:hAnsi="Arial" w:cs="Arial"/>
                <w:kern w:val="0"/>
                <w:sz w:val="24"/>
                <w:szCs w:val="24"/>
                <w14:ligatures w14:val="none"/>
              </w:rPr>
              <w:t xml:space="preserve">Council to </w:t>
            </w:r>
            <w:r w:rsidR="001A4E0D">
              <w:rPr>
                <w:rFonts w:ascii="Arial" w:hAnsi="Arial" w:cs="Arial"/>
                <w:kern w:val="0"/>
                <w:sz w:val="24"/>
                <w:szCs w:val="24"/>
                <w14:ligatures w14:val="none"/>
              </w:rPr>
              <w:t xml:space="preserve">confirm whether a technical start of development has been made at </w:t>
            </w:r>
            <w:r w:rsidR="0061229F">
              <w:rPr>
                <w:rFonts w:ascii="Arial" w:hAnsi="Arial" w:cs="Arial"/>
                <w:kern w:val="0"/>
                <w:sz w:val="24"/>
                <w:szCs w:val="24"/>
                <w14:ligatures w14:val="none"/>
              </w:rPr>
              <w:t xml:space="preserve">site </w:t>
            </w:r>
            <w:r w:rsidR="001A4E0D">
              <w:rPr>
                <w:rFonts w:ascii="Arial" w:hAnsi="Arial" w:cs="Arial"/>
                <w:kern w:val="0"/>
                <w:sz w:val="24"/>
                <w:szCs w:val="24"/>
                <w14:ligatures w14:val="none"/>
              </w:rPr>
              <w:t xml:space="preserve">allocation PrC3/h36, </w:t>
            </w:r>
            <w:r w:rsidR="00A02016">
              <w:rPr>
                <w:rFonts w:ascii="Arial" w:hAnsi="Arial" w:cs="Arial"/>
                <w:kern w:val="0"/>
                <w:sz w:val="24"/>
                <w:szCs w:val="24"/>
                <w14:ligatures w14:val="none"/>
              </w:rPr>
              <w:t>including details of whe</w:t>
            </w:r>
            <w:r w:rsidR="006C7BE4">
              <w:rPr>
                <w:rFonts w:ascii="Arial" w:hAnsi="Arial" w:cs="Arial"/>
                <w:kern w:val="0"/>
                <w:sz w:val="24"/>
                <w:szCs w:val="24"/>
                <w14:ligatures w14:val="none"/>
              </w:rPr>
              <w:t>ther all</w:t>
            </w:r>
            <w:r w:rsidR="00A02016">
              <w:rPr>
                <w:rFonts w:ascii="Arial" w:hAnsi="Arial" w:cs="Arial"/>
                <w:kern w:val="0"/>
                <w:sz w:val="24"/>
                <w:szCs w:val="24"/>
                <w14:ligatures w14:val="none"/>
              </w:rPr>
              <w:t xml:space="preserve"> pre-commencement conditions have been discharged.</w:t>
            </w:r>
          </w:p>
        </w:tc>
        <w:tc>
          <w:tcPr>
            <w:tcW w:w="2642" w:type="dxa"/>
          </w:tcPr>
          <w:p w14:paraId="5B2A4A9F"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tr w:rsidR="001A6AC5" w14:paraId="7DCC0991" w14:textId="77777777" w:rsidTr="001A5460">
        <w:tc>
          <w:tcPr>
            <w:tcW w:w="6374" w:type="dxa"/>
          </w:tcPr>
          <w:p w14:paraId="67F3F480" w14:textId="58807425" w:rsidR="001A6AC5" w:rsidRPr="00243755" w:rsidRDefault="001A6AC5" w:rsidP="001A5460">
            <w:pPr>
              <w:contextualSpacing/>
              <w:rPr>
                <w:rFonts w:ascii="Arial" w:hAnsi="Arial" w:cs="Arial"/>
                <w:sz w:val="24"/>
                <w:szCs w:val="24"/>
              </w:rPr>
            </w:pPr>
            <w:r w:rsidRPr="00243755">
              <w:rPr>
                <w:rFonts w:ascii="Arial" w:hAnsi="Arial" w:cs="Arial"/>
                <w:b/>
                <w:bCs/>
                <w:kern w:val="0"/>
                <w:sz w:val="24"/>
                <w:szCs w:val="24"/>
                <w14:ligatures w14:val="none"/>
              </w:rPr>
              <w:t>AP</w:t>
            </w:r>
            <w:r w:rsidR="00AC6892">
              <w:rPr>
                <w:rFonts w:ascii="Arial" w:hAnsi="Arial" w:cs="Arial"/>
                <w:b/>
                <w:bCs/>
                <w:kern w:val="0"/>
                <w:sz w:val="24"/>
                <w:szCs w:val="24"/>
                <w14:ligatures w14:val="none"/>
              </w:rPr>
              <w:t>9</w:t>
            </w:r>
            <w:r w:rsidRPr="00243755">
              <w:rPr>
                <w:rFonts w:ascii="Arial" w:hAnsi="Arial" w:cs="Arial"/>
                <w:b/>
                <w:bCs/>
                <w:kern w:val="0"/>
                <w:sz w:val="24"/>
                <w:szCs w:val="24"/>
                <w14:ligatures w14:val="none"/>
              </w:rPr>
              <w:t>/</w:t>
            </w:r>
            <w:r>
              <w:rPr>
                <w:rFonts w:ascii="Arial" w:hAnsi="Arial" w:cs="Arial"/>
                <w:b/>
                <w:bCs/>
                <w:kern w:val="0"/>
                <w:sz w:val="24"/>
                <w:szCs w:val="24"/>
                <w14:ligatures w14:val="none"/>
              </w:rPr>
              <w:t>5</w:t>
            </w:r>
            <w:r w:rsidRPr="00243755">
              <w:rPr>
                <w:rFonts w:ascii="Arial" w:hAnsi="Arial" w:cs="Arial"/>
                <w:kern w:val="0"/>
                <w:sz w:val="24"/>
                <w:szCs w:val="24"/>
                <w14:ligatures w14:val="none"/>
              </w:rPr>
              <w:t xml:space="preserve"> –</w:t>
            </w:r>
            <w:r>
              <w:rPr>
                <w:rFonts w:ascii="Arial" w:hAnsi="Arial" w:cs="Arial"/>
                <w:kern w:val="0"/>
                <w:sz w:val="24"/>
                <w:szCs w:val="24"/>
                <w14:ligatures w14:val="none"/>
              </w:rPr>
              <w:t xml:space="preserve"> </w:t>
            </w:r>
            <w:r w:rsidR="006C7BE4">
              <w:rPr>
                <w:rFonts w:ascii="Arial" w:hAnsi="Arial" w:cs="Arial"/>
                <w:kern w:val="0"/>
                <w:sz w:val="24"/>
                <w:szCs w:val="24"/>
                <w14:ligatures w14:val="none"/>
              </w:rPr>
              <w:t xml:space="preserve">Council to confirm whether a technical start of development has been made at </w:t>
            </w:r>
            <w:r w:rsidR="0061229F">
              <w:rPr>
                <w:rFonts w:ascii="Arial" w:hAnsi="Arial" w:cs="Arial"/>
                <w:kern w:val="0"/>
                <w:sz w:val="24"/>
                <w:szCs w:val="24"/>
                <w14:ligatures w14:val="none"/>
              </w:rPr>
              <w:t xml:space="preserve">site </w:t>
            </w:r>
            <w:r w:rsidR="006C7BE4">
              <w:rPr>
                <w:rFonts w:ascii="Arial" w:hAnsi="Arial" w:cs="Arial"/>
                <w:kern w:val="0"/>
                <w:sz w:val="24"/>
                <w:szCs w:val="24"/>
                <w14:ligatures w14:val="none"/>
              </w:rPr>
              <w:t>allocation PrC3/h22, including details of whether all pre-commencement conditions have been discharged.</w:t>
            </w:r>
          </w:p>
        </w:tc>
        <w:tc>
          <w:tcPr>
            <w:tcW w:w="2642" w:type="dxa"/>
          </w:tcPr>
          <w:p w14:paraId="14F7B449"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bookmarkEnd w:id="0"/>
    </w:tbl>
    <w:p w14:paraId="2A2672CE" w14:textId="77777777" w:rsidR="001A6AC5" w:rsidRDefault="001A6AC5" w:rsidP="001A6AC5">
      <w:pPr>
        <w:rPr>
          <w:rFonts w:ascii="Arial" w:hAnsi="Arial" w:cs="Arial"/>
          <w:sz w:val="24"/>
          <w:szCs w:val="24"/>
          <w:u w:val="single"/>
        </w:rPr>
      </w:pPr>
    </w:p>
    <w:p w14:paraId="200F1198" w14:textId="77777777" w:rsidR="001A6AC5" w:rsidRPr="00693189" w:rsidRDefault="001A6AC5" w:rsidP="001A6AC5">
      <w:pPr>
        <w:rPr>
          <w:rFonts w:ascii="Arial" w:hAnsi="Arial" w:cs="Arial"/>
          <w:sz w:val="24"/>
          <w:szCs w:val="24"/>
          <w:u w:val="single"/>
        </w:rPr>
      </w:pPr>
      <w:r w:rsidRPr="00693189">
        <w:rPr>
          <w:rFonts w:ascii="Arial" w:hAnsi="Arial" w:cs="Arial"/>
          <w:sz w:val="24"/>
          <w:szCs w:val="24"/>
          <w:u w:val="single"/>
        </w:rPr>
        <w:t>General note on Action Points (APs):</w:t>
      </w:r>
    </w:p>
    <w:p w14:paraId="4F24AEBB" w14:textId="49E2DA5F" w:rsidR="00194D20" w:rsidRPr="00404DAC" w:rsidRDefault="001A6AC5">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w:t>
      </w:r>
      <w:proofErr w:type="gramStart"/>
      <w:r w:rsidRPr="00693189">
        <w:rPr>
          <w:rFonts w:ascii="Arial" w:hAnsi="Arial" w:cs="Arial"/>
          <w:sz w:val="24"/>
          <w:szCs w:val="24"/>
        </w:rPr>
        <w:t>up to date</w:t>
      </w:r>
      <w:proofErr w:type="gramEnd"/>
      <w:r w:rsidRPr="00693189">
        <w:rPr>
          <w:rFonts w:ascii="Arial" w:hAnsi="Arial" w:cs="Arial"/>
          <w:sz w:val="24"/>
          <w:szCs w:val="24"/>
        </w:rPr>
        <w:t xml:space="preserve"> MAC Schedule; this will normally be in advance of the final hearing session.</w:t>
      </w: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C5"/>
    <w:rsid w:val="000F67F1"/>
    <w:rsid w:val="00194D20"/>
    <w:rsid w:val="001A4E0D"/>
    <w:rsid w:val="001A6AC5"/>
    <w:rsid w:val="002541A1"/>
    <w:rsid w:val="0028541D"/>
    <w:rsid w:val="00361254"/>
    <w:rsid w:val="003E63E0"/>
    <w:rsid w:val="00404DAC"/>
    <w:rsid w:val="00455FE0"/>
    <w:rsid w:val="00494924"/>
    <w:rsid w:val="00533AA9"/>
    <w:rsid w:val="00561D36"/>
    <w:rsid w:val="0061229F"/>
    <w:rsid w:val="006162C8"/>
    <w:rsid w:val="0063201C"/>
    <w:rsid w:val="00680BFB"/>
    <w:rsid w:val="006B3B08"/>
    <w:rsid w:val="006C7BE4"/>
    <w:rsid w:val="006D5D37"/>
    <w:rsid w:val="007231CD"/>
    <w:rsid w:val="007333E9"/>
    <w:rsid w:val="00741FCA"/>
    <w:rsid w:val="008758E4"/>
    <w:rsid w:val="008901F9"/>
    <w:rsid w:val="009A68C2"/>
    <w:rsid w:val="009C4D5C"/>
    <w:rsid w:val="009C56C7"/>
    <w:rsid w:val="009F285F"/>
    <w:rsid w:val="00A02016"/>
    <w:rsid w:val="00A245FF"/>
    <w:rsid w:val="00A626B9"/>
    <w:rsid w:val="00AC6892"/>
    <w:rsid w:val="00B7502D"/>
    <w:rsid w:val="00BA05D4"/>
    <w:rsid w:val="00BE379D"/>
    <w:rsid w:val="00BF7BF1"/>
    <w:rsid w:val="00C16CAF"/>
    <w:rsid w:val="00D06BB7"/>
    <w:rsid w:val="00D11236"/>
    <w:rsid w:val="00D82C38"/>
    <w:rsid w:val="00D940F3"/>
    <w:rsid w:val="00E65AB1"/>
    <w:rsid w:val="00E82F10"/>
    <w:rsid w:val="00E96E15"/>
    <w:rsid w:val="00EB640E"/>
    <w:rsid w:val="00ED65B9"/>
    <w:rsid w:val="00EE7238"/>
    <w:rsid w:val="00F00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F3F4"/>
  <w15:chartTrackingRefBased/>
  <w15:docId w15:val="{15AB135E-778B-467A-91A5-98B8F4E0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C5"/>
  </w:style>
  <w:style w:type="paragraph" w:styleId="Heading1">
    <w:name w:val="heading 1"/>
    <w:basedOn w:val="Normal"/>
    <w:next w:val="Normal"/>
    <w:link w:val="Heading1Char"/>
    <w:uiPriority w:val="9"/>
    <w:qFormat/>
    <w:rsid w:val="001A6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AC5"/>
    <w:rPr>
      <w:rFonts w:eastAsiaTheme="majorEastAsia" w:cstheme="majorBidi"/>
      <w:color w:val="272727" w:themeColor="text1" w:themeTint="D8"/>
    </w:rPr>
  </w:style>
  <w:style w:type="paragraph" w:styleId="Title">
    <w:name w:val="Title"/>
    <w:basedOn w:val="Normal"/>
    <w:next w:val="Normal"/>
    <w:link w:val="TitleChar"/>
    <w:uiPriority w:val="10"/>
    <w:qFormat/>
    <w:rsid w:val="001A6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AC5"/>
    <w:pPr>
      <w:spacing w:before="160"/>
      <w:jc w:val="center"/>
    </w:pPr>
    <w:rPr>
      <w:i/>
      <w:iCs/>
      <w:color w:val="404040" w:themeColor="text1" w:themeTint="BF"/>
    </w:rPr>
  </w:style>
  <w:style w:type="character" w:customStyle="1" w:styleId="QuoteChar">
    <w:name w:val="Quote Char"/>
    <w:basedOn w:val="DefaultParagraphFont"/>
    <w:link w:val="Quote"/>
    <w:uiPriority w:val="29"/>
    <w:rsid w:val="001A6AC5"/>
    <w:rPr>
      <w:i/>
      <w:iCs/>
      <w:color w:val="404040" w:themeColor="text1" w:themeTint="BF"/>
    </w:rPr>
  </w:style>
  <w:style w:type="paragraph" w:styleId="ListParagraph">
    <w:name w:val="List Paragraph"/>
    <w:basedOn w:val="Normal"/>
    <w:uiPriority w:val="34"/>
    <w:qFormat/>
    <w:rsid w:val="001A6AC5"/>
    <w:pPr>
      <w:ind w:left="720"/>
      <w:contextualSpacing/>
    </w:pPr>
  </w:style>
  <w:style w:type="character" w:styleId="IntenseEmphasis">
    <w:name w:val="Intense Emphasis"/>
    <w:basedOn w:val="DefaultParagraphFont"/>
    <w:uiPriority w:val="21"/>
    <w:qFormat/>
    <w:rsid w:val="001A6AC5"/>
    <w:rPr>
      <w:i/>
      <w:iCs/>
      <w:color w:val="0F4761" w:themeColor="accent1" w:themeShade="BF"/>
    </w:rPr>
  </w:style>
  <w:style w:type="paragraph" w:styleId="IntenseQuote">
    <w:name w:val="Intense Quote"/>
    <w:basedOn w:val="Normal"/>
    <w:next w:val="Normal"/>
    <w:link w:val="IntenseQuoteChar"/>
    <w:uiPriority w:val="30"/>
    <w:qFormat/>
    <w:rsid w:val="001A6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AC5"/>
    <w:rPr>
      <w:i/>
      <w:iCs/>
      <w:color w:val="0F4761" w:themeColor="accent1" w:themeShade="BF"/>
    </w:rPr>
  </w:style>
  <w:style w:type="character" w:styleId="IntenseReference">
    <w:name w:val="Intense Reference"/>
    <w:basedOn w:val="DefaultParagraphFont"/>
    <w:uiPriority w:val="32"/>
    <w:qFormat/>
    <w:rsid w:val="001A6AC5"/>
    <w:rPr>
      <w:b/>
      <w:bCs/>
      <w:smallCaps/>
      <w:color w:val="0F4761" w:themeColor="accent1" w:themeShade="BF"/>
      <w:spacing w:val="5"/>
    </w:rPr>
  </w:style>
  <w:style w:type="table" w:styleId="TableGrid">
    <w:name w:val="Table Grid"/>
    <w:basedOn w:val="TableNormal"/>
    <w:uiPriority w:val="39"/>
    <w:rsid w:val="001A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344</Words>
  <Characters>1966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Gulley, Nicola (CSI - Planning &amp; Environment Decisions Wales - Planning &amp; Environment Decisions Wales)</cp:lastModifiedBy>
  <cp:revision>2</cp:revision>
  <dcterms:created xsi:type="dcterms:W3CDTF">2024-11-08T08:24:00Z</dcterms:created>
  <dcterms:modified xsi:type="dcterms:W3CDTF">2024-11-08T08:24:00Z</dcterms:modified>
</cp:coreProperties>
</file>