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B66F3" w14:textId="6F66564B" w:rsidR="00B11BD3" w:rsidRPr="00AD2D58" w:rsidRDefault="00B11BD3" w:rsidP="000C1FBA">
      <w:pPr>
        <w:pStyle w:val="Heading1"/>
      </w:pPr>
      <w:r>
        <w:t xml:space="preserve">Implications of </w:t>
      </w:r>
      <w:r w:rsidR="00AD2D58">
        <w:t>the Revised</w:t>
      </w:r>
      <w:r>
        <w:t xml:space="preserve"> T</w:t>
      </w:r>
      <w:r w:rsidR="28B184AB">
        <w:t xml:space="preserve">echnical </w:t>
      </w:r>
      <w:r>
        <w:t>A</w:t>
      </w:r>
      <w:r w:rsidR="091F743A">
        <w:t xml:space="preserve">dvice </w:t>
      </w:r>
      <w:r>
        <w:t>N</w:t>
      </w:r>
      <w:r w:rsidR="77C2FC1A">
        <w:t>ote</w:t>
      </w:r>
      <w:r>
        <w:t xml:space="preserve"> 15 on the </w:t>
      </w:r>
      <w:r w:rsidR="000C1FBA">
        <w:t>R</w:t>
      </w:r>
      <w:r>
        <w:t>evised L</w:t>
      </w:r>
      <w:r w:rsidR="0E044CEC">
        <w:t xml:space="preserve">ocal </w:t>
      </w:r>
      <w:r>
        <w:t>D</w:t>
      </w:r>
      <w:r w:rsidR="006DD8F1">
        <w:t xml:space="preserve">evelopment </w:t>
      </w:r>
      <w:r>
        <w:t>P</w:t>
      </w:r>
      <w:r w:rsidR="2B45B0F0">
        <w:t>lan</w:t>
      </w:r>
    </w:p>
    <w:p w14:paraId="7652C739" w14:textId="198F2892" w:rsidR="00B11BD3" w:rsidRPr="00831E3F" w:rsidRDefault="00B11BD3" w:rsidP="00286449">
      <w:pPr>
        <w:pStyle w:val="Heading1"/>
        <w:numPr>
          <w:ilvl w:val="0"/>
          <w:numId w:val="5"/>
        </w:numPr>
        <w:ind w:left="567" w:hanging="567"/>
      </w:pPr>
      <w:r w:rsidRPr="00831E3F">
        <w:t>I</w:t>
      </w:r>
      <w:r w:rsidR="005B1A9C" w:rsidRPr="00831E3F">
        <w:t>ntroduction</w:t>
      </w:r>
    </w:p>
    <w:p w14:paraId="75A760B9" w14:textId="77777777" w:rsidR="00775992" w:rsidRPr="00286449" w:rsidRDefault="00775992" w:rsidP="0096256C">
      <w:pPr>
        <w:rPr>
          <w:rFonts w:ascii="Arial" w:hAnsi="Arial" w:cs="Arial"/>
        </w:rPr>
      </w:pPr>
    </w:p>
    <w:p w14:paraId="59E1AE71" w14:textId="08532714" w:rsidR="008823ED" w:rsidRDefault="008823ED" w:rsidP="00281643">
      <w:pPr>
        <w:rPr>
          <w:rFonts w:ascii="Arial" w:hAnsi="Arial" w:cs="Arial"/>
        </w:rPr>
      </w:pPr>
      <w:r w:rsidRPr="39B524C6">
        <w:rPr>
          <w:rFonts w:ascii="Arial" w:hAnsi="Arial" w:cs="Arial"/>
        </w:rPr>
        <w:t>1.1</w:t>
      </w:r>
      <w:r>
        <w:tab/>
      </w:r>
      <w:r w:rsidR="00506040" w:rsidRPr="39B524C6">
        <w:rPr>
          <w:rFonts w:ascii="Arial" w:hAnsi="Arial" w:cs="Arial"/>
        </w:rPr>
        <w:t>At the request of the Inspectors</w:t>
      </w:r>
      <w:r w:rsidR="00A36B15" w:rsidRPr="39B524C6">
        <w:rPr>
          <w:rFonts w:ascii="Arial" w:hAnsi="Arial" w:cs="Arial"/>
        </w:rPr>
        <w:t>, the following</w:t>
      </w:r>
      <w:r w:rsidR="008953EF" w:rsidRPr="39B524C6">
        <w:rPr>
          <w:rFonts w:ascii="Arial" w:hAnsi="Arial" w:cs="Arial"/>
        </w:rPr>
        <w:t xml:space="preserve"> paper </w:t>
      </w:r>
      <w:r w:rsidR="0087218A" w:rsidRPr="39B524C6">
        <w:rPr>
          <w:rFonts w:ascii="Arial" w:hAnsi="Arial" w:cs="Arial"/>
        </w:rPr>
        <w:t>includes</w:t>
      </w:r>
      <w:r w:rsidR="00B26260" w:rsidRPr="39B524C6">
        <w:rPr>
          <w:rFonts w:ascii="Arial" w:hAnsi="Arial" w:cs="Arial"/>
        </w:rPr>
        <w:t xml:space="preserve"> a review of the contents of the re</w:t>
      </w:r>
      <w:r w:rsidR="00297F57" w:rsidRPr="39B524C6">
        <w:rPr>
          <w:rFonts w:ascii="Arial" w:hAnsi="Arial" w:cs="Arial"/>
        </w:rPr>
        <w:t xml:space="preserve">vised </w:t>
      </w:r>
      <w:r w:rsidR="00B81737" w:rsidRPr="39B524C6">
        <w:rPr>
          <w:rFonts w:ascii="Arial" w:hAnsi="Arial" w:cs="Arial"/>
        </w:rPr>
        <w:t>T</w:t>
      </w:r>
      <w:r w:rsidR="2B8AFCF3" w:rsidRPr="39B524C6">
        <w:rPr>
          <w:rFonts w:ascii="Arial" w:hAnsi="Arial" w:cs="Arial"/>
        </w:rPr>
        <w:t xml:space="preserve">echnical </w:t>
      </w:r>
      <w:r w:rsidR="00B81737" w:rsidRPr="39B524C6">
        <w:rPr>
          <w:rFonts w:ascii="Arial" w:hAnsi="Arial" w:cs="Arial"/>
        </w:rPr>
        <w:t>A</w:t>
      </w:r>
      <w:r w:rsidR="3D3E9678" w:rsidRPr="39B524C6">
        <w:rPr>
          <w:rFonts w:ascii="Arial" w:hAnsi="Arial" w:cs="Arial"/>
        </w:rPr>
        <w:t>dvice Note 15: Development, Flood Risk and Coastal Erosion (TAN15)</w:t>
      </w:r>
      <w:r w:rsidR="006444D9" w:rsidRPr="39B524C6">
        <w:rPr>
          <w:rFonts w:ascii="Arial" w:hAnsi="Arial" w:cs="Arial"/>
        </w:rPr>
        <w:t xml:space="preserve"> and assesses the implications of </w:t>
      </w:r>
      <w:r w:rsidR="75D4C16C" w:rsidRPr="39B524C6">
        <w:rPr>
          <w:rFonts w:ascii="Arial" w:hAnsi="Arial" w:cs="Arial"/>
        </w:rPr>
        <w:t>its content and the updated Flood Maps for Planning</w:t>
      </w:r>
      <w:r w:rsidR="00C66094" w:rsidRPr="39B524C6">
        <w:rPr>
          <w:rFonts w:ascii="Arial" w:hAnsi="Arial" w:cs="Arial"/>
        </w:rPr>
        <w:t xml:space="preserve"> on the Revised Carmarthenshire L</w:t>
      </w:r>
      <w:r w:rsidR="174E52AE" w:rsidRPr="39B524C6">
        <w:rPr>
          <w:rFonts w:ascii="Arial" w:hAnsi="Arial" w:cs="Arial"/>
        </w:rPr>
        <w:t>ocal Development Plan (L</w:t>
      </w:r>
      <w:r w:rsidR="00C66094" w:rsidRPr="39B524C6">
        <w:rPr>
          <w:rFonts w:ascii="Arial" w:hAnsi="Arial" w:cs="Arial"/>
        </w:rPr>
        <w:t>DP</w:t>
      </w:r>
      <w:r w:rsidR="60052784" w:rsidRPr="39B524C6">
        <w:rPr>
          <w:rFonts w:ascii="Arial" w:hAnsi="Arial" w:cs="Arial"/>
        </w:rPr>
        <w:t>)</w:t>
      </w:r>
      <w:r w:rsidR="0096256C" w:rsidRPr="39B524C6">
        <w:rPr>
          <w:rFonts w:ascii="Arial" w:hAnsi="Arial" w:cs="Arial"/>
        </w:rPr>
        <w:t xml:space="preserve">.  As part of this paper, the Council </w:t>
      </w:r>
      <w:r w:rsidR="00692BBC" w:rsidRPr="39B524C6">
        <w:rPr>
          <w:rFonts w:ascii="Arial" w:hAnsi="Arial" w:cs="Arial"/>
        </w:rPr>
        <w:t>sets out</w:t>
      </w:r>
      <w:r w:rsidR="0096256C" w:rsidRPr="39B524C6">
        <w:rPr>
          <w:rFonts w:ascii="Arial" w:hAnsi="Arial" w:cs="Arial"/>
        </w:rPr>
        <w:t xml:space="preserve"> whether </w:t>
      </w:r>
      <w:r w:rsidR="00C52932" w:rsidRPr="39B524C6">
        <w:rPr>
          <w:rFonts w:ascii="Arial" w:hAnsi="Arial" w:cs="Arial"/>
        </w:rPr>
        <w:t>it</w:t>
      </w:r>
      <w:r w:rsidR="0096256C" w:rsidRPr="39B524C6">
        <w:rPr>
          <w:rFonts w:ascii="Arial" w:hAnsi="Arial" w:cs="Arial"/>
        </w:rPr>
        <w:t xml:space="preserve"> consider</w:t>
      </w:r>
      <w:r w:rsidR="00C52932" w:rsidRPr="39B524C6">
        <w:rPr>
          <w:rFonts w:ascii="Arial" w:hAnsi="Arial" w:cs="Arial"/>
        </w:rPr>
        <w:t>s</w:t>
      </w:r>
      <w:r w:rsidR="0096256C" w:rsidRPr="39B524C6">
        <w:rPr>
          <w:rFonts w:ascii="Arial" w:hAnsi="Arial" w:cs="Arial"/>
        </w:rPr>
        <w:t xml:space="preserve"> any substantive changes to the Revised </w:t>
      </w:r>
      <w:r w:rsidR="25536688" w:rsidRPr="39B524C6">
        <w:rPr>
          <w:rFonts w:ascii="Arial" w:hAnsi="Arial" w:cs="Arial"/>
        </w:rPr>
        <w:t>LDP</w:t>
      </w:r>
      <w:r w:rsidR="0096256C" w:rsidRPr="39B524C6">
        <w:rPr>
          <w:rFonts w:ascii="Arial" w:hAnsi="Arial" w:cs="Arial"/>
        </w:rPr>
        <w:t xml:space="preserve"> and / or the supporting evidence base are necessary</w:t>
      </w:r>
      <w:r w:rsidR="00A43FF4" w:rsidRPr="39B524C6">
        <w:rPr>
          <w:rFonts w:ascii="Arial" w:hAnsi="Arial" w:cs="Arial"/>
        </w:rPr>
        <w:t xml:space="preserve">. </w:t>
      </w:r>
      <w:r w:rsidR="0001607B" w:rsidRPr="39B524C6">
        <w:rPr>
          <w:rFonts w:ascii="Arial" w:hAnsi="Arial" w:cs="Arial"/>
        </w:rPr>
        <w:t xml:space="preserve"> </w:t>
      </w:r>
      <w:r w:rsidR="00A43FF4" w:rsidRPr="39B524C6">
        <w:rPr>
          <w:rFonts w:ascii="Arial" w:hAnsi="Arial" w:cs="Arial"/>
        </w:rPr>
        <w:t>W</w:t>
      </w:r>
      <w:r w:rsidR="0001607B" w:rsidRPr="39B524C6">
        <w:rPr>
          <w:rFonts w:ascii="Arial" w:hAnsi="Arial" w:cs="Arial"/>
        </w:rPr>
        <w:t>here it considers</w:t>
      </w:r>
      <w:r w:rsidR="0096256C" w:rsidRPr="39B524C6">
        <w:rPr>
          <w:rFonts w:ascii="Arial" w:hAnsi="Arial" w:cs="Arial"/>
        </w:rPr>
        <w:t xml:space="preserve"> amendments are required, the detailed nature of these revisions </w:t>
      </w:r>
      <w:proofErr w:type="gramStart"/>
      <w:r w:rsidR="00001927" w:rsidRPr="39B524C6">
        <w:rPr>
          <w:rFonts w:ascii="Arial" w:hAnsi="Arial" w:cs="Arial"/>
        </w:rPr>
        <w:t>are</w:t>
      </w:r>
      <w:proofErr w:type="gramEnd"/>
      <w:r w:rsidR="0096256C" w:rsidRPr="39B524C6">
        <w:rPr>
          <w:rFonts w:ascii="Arial" w:hAnsi="Arial" w:cs="Arial"/>
        </w:rPr>
        <w:t xml:space="preserve"> </w:t>
      </w:r>
      <w:r w:rsidR="29D4478B" w:rsidRPr="39B524C6">
        <w:rPr>
          <w:rFonts w:ascii="Arial" w:hAnsi="Arial" w:cs="Arial"/>
        </w:rPr>
        <w:t>outlined</w:t>
      </w:r>
      <w:r w:rsidR="0096256C" w:rsidRPr="39B524C6">
        <w:rPr>
          <w:rFonts w:ascii="Arial" w:hAnsi="Arial" w:cs="Arial"/>
        </w:rPr>
        <w:t>.</w:t>
      </w:r>
    </w:p>
    <w:p w14:paraId="0C1FA2B1" w14:textId="77777777" w:rsidR="008823ED" w:rsidRDefault="008823ED" w:rsidP="00281643">
      <w:pPr>
        <w:rPr>
          <w:rFonts w:ascii="Arial" w:hAnsi="Arial" w:cs="Arial"/>
        </w:rPr>
      </w:pPr>
    </w:p>
    <w:p w14:paraId="6F4231AE" w14:textId="2830E088" w:rsidR="00281643" w:rsidRPr="00286449" w:rsidRDefault="008823ED" w:rsidP="00281643">
      <w:pPr>
        <w:rPr>
          <w:rFonts w:ascii="Arial" w:hAnsi="Arial" w:cs="Arial"/>
        </w:rPr>
      </w:pPr>
      <w:r w:rsidRPr="39B524C6">
        <w:rPr>
          <w:rFonts w:ascii="Arial" w:hAnsi="Arial" w:cs="Arial"/>
        </w:rPr>
        <w:t>1.2</w:t>
      </w:r>
      <w:r>
        <w:tab/>
      </w:r>
      <w:r w:rsidR="00281643" w:rsidRPr="39B524C6">
        <w:rPr>
          <w:rFonts w:ascii="Arial" w:hAnsi="Arial" w:cs="Arial"/>
        </w:rPr>
        <w:t>Flood risk has been a</w:t>
      </w:r>
      <w:r w:rsidR="4587A0FB" w:rsidRPr="39B524C6">
        <w:rPr>
          <w:rFonts w:ascii="Arial" w:hAnsi="Arial" w:cs="Arial"/>
        </w:rPr>
        <w:t>n important</w:t>
      </w:r>
      <w:r w:rsidR="00281643" w:rsidRPr="39B524C6">
        <w:rPr>
          <w:rFonts w:ascii="Arial" w:hAnsi="Arial" w:cs="Arial"/>
        </w:rPr>
        <w:t xml:space="preserve"> consideration throughout the preparation of the Plan with the following evidence being produced at key stages in the Plan’s preparation:</w:t>
      </w:r>
    </w:p>
    <w:p w14:paraId="5978CD9B" w14:textId="77777777" w:rsidR="00281643" w:rsidRPr="00286449" w:rsidRDefault="00281643" w:rsidP="008823ED">
      <w:pPr>
        <w:pStyle w:val="ListParagraph"/>
        <w:numPr>
          <w:ilvl w:val="0"/>
          <w:numId w:val="3"/>
        </w:numPr>
        <w:ind w:left="1134" w:hanging="425"/>
        <w:rPr>
          <w:rFonts w:ascii="Arial" w:hAnsi="Arial" w:cs="Arial"/>
        </w:rPr>
      </w:pPr>
      <w:r w:rsidRPr="00286449">
        <w:rPr>
          <w:rFonts w:ascii="Arial" w:hAnsi="Arial" w:cs="Arial"/>
        </w:rPr>
        <w:t>CSD226 Strategic Flood Consequences Assessment of the Second Deposit Revised LDP Sites (Feb 2023</w:t>
      </w:r>
      <w:proofErr w:type="gramStart"/>
      <w:r w:rsidRPr="00286449">
        <w:rPr>
          <w:rFonts w:ascii="Arial" w:hAnsi="Arial" w:cs="Arial"/>
        </w:rPr>
        <w:t>);</w:t>
      </w:r>
      <w:proofErr w:type="gramEnd"/>
    </w:p>
    <w:p w14:paraId="0A7494A5" w14:textId="77777777" w:rsidR="00281643" w:rsidRPr="00286449" w:rsidRDefault="00281643" w:rsidP="008823ED">
      <w:pPr>
        <w:pStyle w:val="ListParagraph"/>
        <w:numPr>
          <w:ilvl w:val="0"/>
          <w:numId w:val="3"/>
        </w:numPr>
        <w:ind w:left="1134" w:hanging="425"/>
        <w:rPr>
          <w:rFonts w:ascii="Arial" w:hAnsi="Arial" w:cs="Arial"/>
        </w:rPr>
      </w:pPr>
      <w:r w:rsidRPr="00286449">
        <w:rPr>
          <w:rFonts w:ascii="Arial" w:hAnsi="Arial" w:cs="Arial"/>
        </w:rPr>
        <w:t xml:space="preserve">CSD227 </w:t>
      </w:r>
      <w:proofErr w:type="gramStart"/>
      <w:r w:rsidRPr="00286449">
        <w:rPr>
          <w:rFonts w:ascii="Arial" w:hAnsi="Arial" w:cs="Arial"/>
        </w:rPr>
        <w:t>South West</w:t>
      </w:r>
      <w:proofErr w:type="gramEnd"/>
      <w:r w:rsidRPr="00286449">
        <w:rPr>
          <w:rFonts w:ascii="Arial" w:hAnsi="Arial" w:cs="Arial"/>
        </w:rPr>
        <w:t xml:space="preserve"> Wales – Stage 1 Strategic Flood Consequences Assessment (Nov 2022);</w:t>
      </w:r>
    </w:p>
    <w:p w14:paraId="35772F8B" w14:textId="37E0C7C5" w:rsidR="00281643" w:rsidRPr="00286449" w:rsidRDefault="00281643" w:rsidP="008823ED">
      <w:pPr>
        <w:pStyle w:val="ListParagraph"/>
        <w:numPr>
          <w:ilvl w:val="0"/>
          <w:numId w:val="3"/>
        </w:numPr>
        <w:ind w:left="1134" w:hanging="425"/>
        <w:rPr>
          <w:rFonts w:ascii="Arial" w:hAnsi="Arial" w:cs="Arial"/>
        </w:rPr>
      </w:pPr>
      <w:r w:rsidRPr="00286449">
        <w:rPr>
          <w:rFonts w:ascii="Arial" w:hAnsi="Arial" w:cs="Arial"/>
        </w:rPr>
        <w:t xml:space="preserve">CSD228 Carmarthenshire &amp; Pembrokeshire Stage 1 Strategic Flood Consequence Assessment </w:t>
      </w:r>
      <w:r w:rsidR="0091062E" w:rsidRPr="00286449">
        <w:rPr>
          <w:rFonts w:ascii="Arial" w:hAnsi="Arial" w:cs="Arial"/>
        </w:rPr>
        <w:t>(September</w:t>
      </w:r>
      <w:r w:rsidRPr="00286449">
        <w:rPr>
          <w:rFonts w:ascii="Arial" w:hAnsi="Arial" w:cs="Arial"/>
        </w:rPr>
        <w:t xml:space="preserve"> 2019)</w:t>
      </w:r>
    </w:p>
    <w:p w14:paraId="3CA72AB8" w14:textId="77777777" w:rsidR="008823ED" w:rsidRDefault="008823ED" w:rsidP="0096256C">
      <w:pPr>
        <w:rPr>
          <w:rFonts w:ascii="Arial" w:hAnsi="Arial" w:cs="Arial"/>
        </w:rPr>
      </w:pPr>
    </w:p>
    <w:p w14:paraId="21E41369" w14:textId="29A07AC5" w:rsidR="002D2371" w:rsidRPr="001A3A6C" w:rsidRDefault="008823ED" w:rsidP="0096256C">
      <w:pPr>
        <w:rPr>
          <w:rFonts w:ascii="Arial" w:hAnsi="Arial" w:cs="Arial"/>
        </w:rPr>
      </w:pPr>
      <w:r>
        <w:rPr>
          <w:rFonts w:ascii="Arial" w:hAnsi="Arial" w:cs="Arial"/>
        </w:rPr>
        <w:t>1.3</w:t>
      </w:r>
      <w:r>
        <w:rPr>
          <w:rFonts w:ascii="Arial" w:hAnsi="Arial" w:cs="Arial"/>
        </w:rPr>
        <w:tab/>
      </w:r>
      <w:r w:rsidR="003D6214" w:rsidRPr="001A3A6C">
        <w:rPr>
          <w:rFonts w:ascii="Arial" w:hAnsi="Arial" w:cs="Arial"/>
        </w:rPr>
        <w:t>Additional work has also been undertaken to evaluate flood risk on specific sites and in specific localities, these included:</w:t>
      </w:r>
    </w:p>
    <w:p w14:paraId="2969E5FB" w14:textId="65DB4C30" w:rsidR="003D6214" w:rsidRPr="001A3A6C" w:rsidRDefault="009469B6" w:rsidP="00A0562F">
      <w:pPr>
        <w:pStyle w:val="ListParagraph"/>
        <w:numPr>
          <w:ilvl w:val="0"/>
          <w:numId w:val="7"/>
        </w:numPr>
        <w:ind w:left="1134" w:hanging="425"/>
        <w:rPr>
          <w:rFonts w:ascii="Arial" w:hAnsi="Arial" w:cs="Arial"/>
        </w:rPr>
      </w:pPr>
      <w:r w:rsidRPr="001A3A6C">
        <w:rPr>
          <w:rFonts w:ascii="Arial" w:hAnsi="Arial" w:cs="Arial"/>
        </w:rPr>
        <w:t>CSD</w:t>
      </w:r>
      <w:r w:rsidR="00872970" w:rsidRPr="001A3A6C">
        <w:rPr>
          <w:rFonts w:ascii="Arial" w:hAnsi="Arial" w:cs="Arial"/>
        </w:rPr>
        <w:t>245</w:t>
      </w:r>
      <w:r w:rsidR="00317418" w:rsidRPr="001A3A6C">
        <w:rPr>
          <w:rFonts w:ascii="Arial" w:hAnsi="Arial" w:cs="Arial"/>
        </w:rPr>
        <w:t>, CSD</w:t>
      </w:r>
      <w:r w:rsidR="009244D4" w:rsidRPr="001A3A6C">
        <w:rPr>
          <w:rFonts w:ascii="Arial" w:hAnsi="Arial" w:cs="Arial"/>
        </w:rPr>
        <w:t xml:space="preserve">246, CSD247 </w:t>
      </w:r>
      <w:r w:rsidR="0051210D" w:rsidRPr="001A3A6C">
        <w:rPr>
          <w:rFonts w:ascii="Arial" w:hAnsi="Arial" w:cs="Arial"/>
        </w:rPr>
        <w:t>Stage 1b SFCA for Llanelli, Burry Port and Surrounding Areas (Dec 2019);</w:t>
      </w:r>
      <w:r w:rsidRPr="001A3A6C">
        <w:rPr>
          <w:rFonts w:ascii="Arial" w:hAnsi="Arial" w:cs="Arial"/>
        </w:rPr>
        <w:t xml:space="preserve"> and,</w:t>
      </w:r>
    </w:p>
    <w:p w14:paraId="573D3397" w14:textId="6101DE05" w:rsidR="0051210D" w:rsidRPr="001A3A6C" w:rsidRDefault="00F62455" w:rsidP="00A0562F">
      <w:pPr>
        <w:pStyle w:val="ListParagraph"/>
        <w:numPr>
          <w:ilvl w:val="0"/>
          <w:numId w:val="7"/>
        </w:numPr>
        <w:ind w:left="1134" w:hanging="425"/>
        <w:rPr>
          <w:rFonts w:ascii="Arial" w:hAnsi="Arial" w:cs="Arial"/>
        </w:rPr>
      </w:pPr>
      <w:r w:rsidRPr="33027CD6">
        <w:rPr>
          <w:rFonts w:ascii="Arial" w:hAnsi="Arial" w:cs="Arial"/>
        </w:rPr>
        <w:t>CSD273</w:t>
      </w:r>
      <w:r w:rsidR="4911431C" w:rsidRPr="33027CD6">
        <w:rPr>
          <w:rFonts w:ascii="Arial" w:hAnsi="Arial" w:cs="Arial"/>
        </w:rPr>
        <w:t xml:space="preserve"> </w:t>
      </w:r>
      <w:r w:rsidR="00AD5F43" w:rsidRPr="33027CD6">
        <w:rPr>
          <w:rFonts w:ascii="Arial" w:hAnsi="Arial" w:cs="Arial"/>
        </w:rPr>
        <w:t xml:space="preserve">Llanelli Traveller Site Flood Risk Statement </w:t>
      </w:r>
    </w:p>
    <w:p w14:paraId="733DC416" w14:textId="77777777" w:rsidR="00A0562F" w:rsidRDefault="00A0562F" w:rsidP="00F62455">
      <w:pPr>
        <w:rPr>
          <w:rFonts w:ascii="Arial" w:hAnsi="Arial" w:cs="Arial"/>
        </w:rPr>
      </w:pPr>
    </w:p>
    <w:p w14:paraId="436849BF" w14:textId="7845A3A4" w:rsidR="00F62455" w:rsidRPr="00A0562F" w:rsidRDefault="00F62455" w:rsidP="00A0562F">
      <w:pPr>
        <w:pStyle w:val="ListParagraph"/>
        <w:numPr>
          <w:ilvl w:val="1"/>
          <w:numId w:val="5"/>
        </w:numPr>
        <w:ind w:left="0" w:firstLine="0"/>
        <w:rPr>
          <w:rFonts w:ascii="Arial" w:hAnsi="Arial" w:cs="Arial"/>
        </w:rPr>
      </w:pPr>
      <w:r w:rsidRPr="39B524C6">
        <w:rPr>
          <w:rFonts w:ascii="Arial" w:hAnsi="Arial" w:cs="Arial"/>
        </w:rPr>
        <w:t xml:space="preserve">A further assessment of flood risk was undertaken against all proposed allocated sites </w:t>
      </w:r>
      <w:proofErr w:type="gramStart"/>
      <w:r w:rsidRPr="39B524C6">
        <w:rPr>
          <w:rFonts w:ascii="Arial" w:hAnsi="Arial" w:cs="Arial"/>
        </w:rPr>
        <w:t>in light of</w:t>
      </w:r>
      <w:proofErr w:type="gramEnd"/>
      <w:r w:rsidRPr="39B524C6">
        <w:rPr>
          <w:rFonts w:ascii="Arial" w:hAnsi="Arial" w:cs="Arial"/>
        </w:rPr>
        <w:t xml:space="preserve"> the </w:t>
      </w:r>
      <w:r w:rsidR="37B1EB82" w:rsidRPr="39B524C6">
        <w:rPr>
          <w:rFonts w:ascii="Arial" w:hAnsi="Arial" w:cs="Arial"/>
        </w:rPr>
        <w:t xml:space="preserve">then </w:t>
      </w:r>
      <w:r w:rsidRPr="39B524C6">
        <w:rPr>
          <w:rFonts w:ascii="Arial" w:hAnsi="Arial" w:cs="Arial"/>
        </w:rPr>
        <w:t xml:space="preserve">most recent Flood Map for </w:t>
      </w:r>
      <w:r w:rsidR="6B7AE347" w:rsidRPr="39B524C6">
        <w:rPr>
          <w:rFonts w:ascii="Arial" w:hAnsi="Arial" w:cs="Arial"/>
        </w:rPr>
        <w:t>P</w:t>
      </w:r>
      <w:r w:rsidRPr="39B524C6">
        <w:rPr>
          <w:rFonts w:ascii="Arial" w:hAnsi="Arial" w:cs="Arial"/>
        </w:rPr>
        <w:t xml:space="preserve">lanning </w:t>
      </w:r>
      <w:r w:rsidR="003813BE" w:rsidRPr="39B524C6">
        <w:rPr>
          <w:rFonts w:ascii="Arial" w:hAnsi="Arial" w:cs="Arial"/>
        </w:rPr>
        <w:t xml:space="preserve">in response to the Inspector’s initial questions. This was completed prior to the Examination Hearings in </w:t>
      </w:r>
      <w:r w:rsidR="00E12AE7" w:rsidRPr="39B524C6">
        <w:rPr>
          <w:rFonts w:ascii="Arial" w:hAnsi="Arial" w:cs="Arial"/>
        </w:rPr>
        <w:t>O</w:t>
      </w:r>
      <w:r w:rsidR="00A26A59" w:rsidRPr="39B524C6">
        <w:rPr>
          <w:rFonts w:ascii="Arial" w:hAnsi="Arial" w:cs="Arial"/>
        </w:rPr>
        <w:t>ctober</w:t>
      </w:r>
      <w:r w:rsidR="0090007D" w:rsidRPr="39B524C6">
        <w:rPr>
          <w:rFonts w:ascii="Arial" w:hAnsi="Arial" w:cs="Arial"/>
        </w:rPr>
        <w:t xml:space="preserve"> 2024 and used the data presented in the Ma</w:t>
      </w:r>
      <w:r w:rsidR="00A4108A" w:rsidRPr="39B524C6">
        <w:rPr>
          <w:rFonts w:ascii="Arial" w:hAnsi="Arial" w:cs="Arial"/>
        </w:rPr>
        <w:t xml:space="preserve">y 2024 </w:t>
      </w:r>
      <w:r w:rsidR="00A26A59" w:rsidRPr="39B524C6">
        <w:rPr>
          <w:rFonts w:ascii="Arial" w:hAnsi="Arial" w:cs="Arial"/>
        </w:rPr>
        <w:t xml:space="preserve">flood </w:t>
      </w:r>
      <w:r w:rsidR="00A4108A" w:rsidRPr="39B524C6">
        <w:rPr>
          <w:rFonts w:ascii="Arial" w:hAnsi="Arial" w:cs="Arial"/>
        </w:rPr>
        <w:t xml:space="preserve">maps. </w:t>
      </w:r>
    </w:p>
    <w:p w14:paraId="1455B6D4" w14:textId="77777777" w:rsidR="00A0562F" w:rsidRPr="00A0562F" w:rsidRDefault="00A0562F" w:rsidP="00A0562F">
      <w:pPr>
        <w:pStyle w:val="ListParagraph"/>
        <w:ind w:left="1080"/>
        <w:rPr>
          <w:rFonts w:ascii="Arial" w:hAnsi="Arial" w:cs="Arial"/>
        </w:rPr>
      </w:pPr>
    </w:p>
    <w:p w14:paraId="52011630" w14:textId="000267A3" w:rsidR="00B111A1" w:rsidRPr="00286449" w:rsidRDefault="00A0562F" w:rsidP="00F62455">
      <w:pPr>
        <w:rPr>
          <w:rFonts w:ascii="Arial" w:hAnsi="Arial" w:cs="Arial"/>
        </w:rPr>
      </w:pPr>
      <w:r w:rsidRPr="39B524C6">
        <w:rPr>
          <w:rFonts w:ascii="Arial" w:hAnsi="Arial" w:cs="Arial"/>
        </w:rPr>
        <w:lastRenderedPageBreak/>
        <w:t>1.5</w:t>
      </w:r>
      <w:r w:rsidR="00B111A1">
        <w:tab/>
      </w:r>
      <w:r w:rsidR="001669F2" w:rsidRPr="39B524C6">
        <w:rPr>
          <w:rFonts w:ascii="Arial" w:hAnsi="Arial" w:cs="Arial"/>
        </w:rPr>
        <w:t xml:space="preserve">The evidential work undertaken </w:t>
      </w:r>
      <w:r w:rsidR="007726A6" w:rsidRPr="39B524C6">
        <w:rPr>
          <w:rFonts w:ascii="Arial" w:hAnsi="Arial" w:cs="Arial"/>
        </w:rPr>
        <w:t xml:space="preserve">was prepared in accordance with the requirements of the </w:t>
      </w:r>
      <w:r w:rsidR="00CF23FD" w:rsidRPr="39B524C6">
        <w:rPr>
          <w:rFonts w:ascii="Arial" w:hAnsi="Arial" w:cs="Arial"/>
        </w:rPr>
        <w:t xml:space="preserve">adopted </w:t>
      </w:r>
      <w:r w:rsidR="007726A6" w:rsidRPr="39B524C6">
        <w:rPr>
          <w:rFonts w:ascii="Arial" w:hAnsi="Arial" w:cs="Arial"/>
        </w:rPr>
        <w:t xml:space="preserve">TAN15 </w:t>
      </w:r>
      <w:r w:rsidR="00CF23FD" w:rsidRPr="39B524C6">
        <w:rPr>
          <w:rFonts w:ascii="Arial" w:hAnsi="Arial" w:cs="Arial"/>
        </w:rPr>
        <w:t>(</w:t>
      </w:r>
      <w:r w:rsidR="00232C5C" w:rsidRPr="39B524C6">
        <w:rPr>
          <w:rFonts w:ascii="Arial" w:hAnsi="Arial" w:cs="Arial"/>
        </w:rPr>
        <w:t>200</w:t>
      </w:r>
      <w:r w:rsidR="0055162D" w:rsidRPr="39B524C6">
        <w:rPr>
          <w:rFonts w:ascii="Arial" w:hAnsi="Arial" w:cs="Arial"/>
        </w:rPr>
        <w:t>4</w:t>
      </w:r>
      <w:r w:rsidR="00CF23FD" w:rsidRPr="39B524C6">
        <w:rPr>
          <w:rFonts w:ascii="Arial" w:hAnsi="Arial" w:cs="Arial"/>
        </w:rPr>
        <w:t>) at that time. However, additional evidential work undertaken in 2022 also took into consideration the guidance of the draft TAN15 which had been published for information along with the requirements of the Minister</w:t>
      </w:r>
      <w:r w:rsidR="00473BBD" w:rsidRPr="39B524C6">
        <w:rPr>
          <w:rFonts w:ascii="Arial" w:hAnsi="Arial" w:cs="Arial"/>
        </w:rPr>
        <w:t>ial</w:t>
      </w:r>
      <w:r w:rsidR="00CF23FD" w:rsidRPr="39B524C6">
        <w:rPr>
          <w:rFonts w:ascii="Arial" w:hAnsi="Arial" w:cs="Arial"/>
        </w:rPr>
        <w:t xml:space="preserve"> Letter </w:t>
      </w:r>
      <w:r w:rsidR="00473BBD" w:rsidRPr="39B524C6">
        <w:rPr>
          <w:rFonts w:ascii="Arial" w:hAnsi="Arial" w:cs="Arial"/>
        </w:rPr>
        <w:t>dated 23 November 2021</w:t>
      </w:r>
      <w:r w:rsidR="00B111A1" w:rsidRPr="39B524C6">
        <w:rPr>
          <w:rFonts w:ascii="Arial" w:hAnsi="Arial" w:cs="Arial"/>
        </w:rPr>
        <w:t xml:space="preserve"> following the announcement of the suspension of the new TAN15. </w:t>
      </w:r>
      <w:r w:rsidR="0DDA837F" w:rsidRPr="39B524C6">
        <w:rPr>
          <w:rFonts w:ascii="Arial" w:hAnsi="Arial" w:cs="Arial"/>
        </w:rPr>
        <w:t xml:space="preserve"> </w:t>
      </w:r>
      <w:r w:rsidR="00B111A1" w:rsidRPr="39B524C6">
        <w:rPr>
          <w:rFonts w:ascii="Arial" w:hAnsi="Arial" w:cs="Arial"/>
        </w:rPr>
        <w:t xml:space="preserve">Whilst the requirements of the </w:t>
      </w:r>
      <w:r w:rsidR="14024174" w:rsidRPr="39B524C6">
        <w:rPr>
          <w:rFonts w:ascii="Arial" w:hAnsi="Arial" w:cs="Arial"/>
        </w:rPr>
        <w:t xml:space="preserve">draft </w:t>
      </w:r>
      <w:r w:rsidR="00B111A1" w:rsidRPr="39B524C6">
        <w:rPr>
          <w:rFonts w:ascii="Arial" w:hAnsi="Arial" w:cs="Arial"/>
        </w:rPr>
        <w:t xml:space="preserve">TAN15 document in place at that time and the requirements of the </w:t>
      </w:r>
      <w:r w:rsidR="0034113E" w:rsidRPr="39B524C6">
        <w:rPr>
          <w:rFonts w:ascii="Arial" w:hAnsi="Arial" w:cs="Arial"/>
        </w:rPr>
        <w:t>M</w:t>
      </w:r>
      <w:r w:rsidR="00B111A1" w:rsidRPr="39B524C6">
        <w:rPr>
          <w:rFonts w:ascii="Arial" w:hAnsi="Arial" w:cs="Arial"/>
        </w:rPr>
        <w:t xml:space="preserve">inisterial </w:t>
      </w:r>
      <w:r w:rsidR="0034113E" w:rsidRPr="39B524C6">
        <w:rPr>
          <w:rFonts w:ascii="Arial" w:hAnsi="Arial" w:cs="Arial"/>
        </w:rPr>
        <w:t>L</w:t>
      </w:r>
      <w:r w:rsidR="00B111A1" w:rsidRPr="39B524C6">
        <w:rPr>
          <w:rFonts w:ascii="Arial" w:hAnsi="Arial" w:cs="Arial"/>
        </w:rPr>
        <w:t>etter do not fully reflect the guidance of the new adopted TAN15 the Council is satisfied th</w:t>
      </w:r>
      <w:r w:rsidR="00AA4DBF" w:rsidRPr="39B524C6">
        <w:rPr>
          <w:rFonts w:ascii="Arial" w:hAnsi="Arial" w:cs="Arial"/>
        </w:rPr>
        <w:t>a</w:t>
      </w:r>
      <w:r w:rsidR="00B111A1" w:rsidRPr="39B524C6">
        <w:rPr>
          <w:rFonts w:ascii="Arial" w:hAnsi="Arial" w:cs="Arial"/>
        </w:rPr>
        <w:t xml:space="preserve">t the work undertaken has </w:t>
      </w:r>
      <w:r w:rsidR="3C26D25C" w:rsidRPr="39B524C6">
        <w:rPr>
          <w:rFonts w:ascii="Arial" w:hAnsi="Arial" w:cs="Arial"/>
        </w:rPr>
        <w:t>contributed to</w:t>
      </w:r>
      <w:r w:rsidR="00B111A1" w:rsidRPr="39B524C6">
        <w:rPr>
          <w:rFonts w:ascii="Arial" w:hAnsi="Arial" w:cs="Arial"/>
        </w:rPr>
        <w:t xml:space="preserve"> </w:t>
      </w:r>
      <w:r w:rsidR="00AA4DBF" w:rsidRPr="39B524C6">
        <w:rPr>
          <w:rFonts w:ascii="Arial" w:hAnsi="Arial" w:cs="Arial"/>
        </w:rPr>
        <w:t xml:space="preserve">a robust assessment of flood risk </w:t>
      </w:r>
      <w:r w:rsidR="001A4EBF" w:rsidRPr="39B524C6">
        <w:rPr>
          <w:rFonts w:ascii="Arial" w:hAnsi="Arial" w:cs="Arial"/>
        </w:rPr>
        <w:t xml:space="preserve">based on national guidance and </w:t>
      </w:r>
      <w:r w:rsidR="00E529B7" w:rsidRPr="39B524C6">
        <w:rPr>
          <w:rFonts w:ascii="Arial" w:hAnsi="Arial" w:cs="Arial"/>
        </w:rPr>
        <w:t>considering</w:t>
      </w:r>
      <w:r w:rsidR="001A4EBF" w:rsidRPr="39B524C6">
        <w:rPr>
          <w:rFonts w:ascii="Arial" w:hAnsi="Arial" w:cs="Arial"/>
        </w:rPr>
        <w:t xml:space="preserve"> the best available flood</w:t>
      </w:r>
      <w:r w:rsidR="0034113E" w:rsidRPr="39B524C6">
        <w:rPr>
          <w:rFonts w:ascii="Arial" w:hAnsi="Arial" w:cs="Arial"/>
        </w:rPr>
        <w:t xml:space="preserve">ing data. </w:t>
      </w:r>
    </w:p>
    <w:p w14:paraId="60B1CBA4" w14:textId="041FECC0" w:rsidR="00B11BD3" w:rsidRPr="003A673D" w:rsidRDefault="00553D01" w:rsidP="00286449">
      <w:pPr>
        <w:pStyle w:val="Heading1"/>
        <w:numPr>
          <w:ilvl w:val="0"/>
          <w:numId w:val="5"/>
        </w:numPr>
        <w:ind w:left="567" w:hanging="567"/>
      </w:pPr>
      <w:r w:rsidRPr="003A673D">
        <w:t>Review and assessment</w:t>
      </w:r>
    </w:p>
    <w:p w14:paraId="1CACB064" w14:textId="42C76C32" w:rsidR="00354406" w:rsidRDefault="00FA4FFE" w:rsidP="00286449">
      <w:pPr>
        <w:rPr>
          <w:rFonts w:ascii="Arial" w:hAnsi="Arial" w:cs="Arial"/>
        </w:rPr>
      </w:pPr>
      <w:r w:rsidRPr="39B524C6">
        <w:rPr>
          <w:rFonts w:ascii="Arial" w:hAnsi="Arial" w:cs="Arial"/>
        </w:rPr>
        <w:t>2.1</w:t>
      </w:r>
      <w:r>
        <w:tab/>
      </w:r>
      <w:r w:rsidR="00F26ABF" w:rsidRPr="39B524C6">
        <w:rPr>
          <w:rFonts w:ascii="Arial" w:hAnsi="Arial" w:cs="Arial"/>
        </w:rPr>
        <w:t xml:space="preserve">A review of the whole </w:t>
      </w:r>
      <w:r w:rsidR="3BE8D4CA" w:rsidRPr="39B524C6">
        <w:rPr>
          <w:rFonts w:ascii="Arial" w:hAnsi="Arial" w:cs="Arial"/>
        </w:rPr>
        <w:t xml:space="preserve">revised </w:t>
      </w:r>
      <w:r w:rsidR="00F26ABF" w:rsidRPr="39B524C6">
        <w:rPr>
          <w:rFonts w:ascii="Arial" w:hAnsi="Arial" w:cs="Arial"/>
        </w:rPr>
        <w:t>TAN</w:t>
      </w:r>
      <w:r w:rsidR="6B66B83B" w:rsidRPr="39B524C6">
        <w:rPr>
          <w:rFonts w:ascii="Arial" w:hAnsi="Arial" w:cs="Arial"/>
        </w:rPr>
        <w:t>15</w:t>
      </w:r>
      <w:r w:rsidR="00F26ABF" w:rsidRPr="39B524C6">
        <w:rPr>
          <w:rFonts w:ascii="Arial" w:hAnsi="Arial" w:cs="Arial"/>
        </w:rPr>
        <w:t xml:space="preserve"> has been </w:t>
      </w:r>
      <w:r w:rsidR="00FB2045" w:rsidRPr="39B524C6">
        <w:rPr>
          <w:rFonts w:ascii="Arial" w:hAnsi="Arial" w:cs="Arial"/>
        </w:rPr>
        <w:t>undertaken;</w:t>
      </w:r>
      <w:r w:rsidR="003164A6" w:rsidRPr="39B524C6">
        <w:rPr>
          <w:rFonts w:ascii="Arial" w:hAnsi="Arial" w:cs="Arial"/>
        </w:rPr>
        <w:t xml:space="preserve"> </w:t>
      </w:r>
      <w:r w:rsidR="00775992" w:rsidRPr="39B524C6">
        <w:rPr>
          <w:rFonts w:ascii="Arial" w:hAnsi="Arial" w:cs="Arial"/>
        </w:rPr>
        <w:t>however,</w:t>
      </w:r>
      <w:r w:rsidR="003164A6" w:rsidRPr="39B524C6">
        <w:rPr>
          <w:rFonts w:ascii="Arial" w:hAnsi="Arial" w:cs="Arial"/>
        </w:rPr>
        <w:t xml:space="preserve"> the following review and assessment relates to only those</w:t>
      </w:r>
      <w:r w:rsidR="009800A1" w:rsidRPr="39B524C6">
        <w:rPr>
          <w:rFonts w:ascii="Arial" w:hAnsi="Arial" w:cs="Arial"/>
        </w:rPr>
        <w:t xml:space="preserve"> sections that the Council feels</w:t>
      </w:r>
      <w:r w:rsidR="00D34B38" w:rsidRPr="39B524C6">
        <w:rPr>
          <w:rFonts w:ascii="Arial" w:hAnsi="Arial" w:cs="Arial"/>
        </w:rPr>
        <w:t xml:space="preserve"> has implications for the </w:t>
      </w:r>
      <w:r w:rsidR="5C1759E3" w:rsidRPr="39B524C6">
        <w:rPr>
          <w:rFonts w:ascii="Arial" w:hAnsi="Arial" w:cs="Arial"/>
        </w:rPr>
        <w:t xml:space="preserve">content of the </w:t>
      </w:r>
      <w:r w:rsidR="00D34B38" w:rsidRPr="39B524C6">
        <w:rPr>
          <w:rFonts w:ascii="Arial" w:hAnsi="Arial" w:cs="Arial"/>
        </w:rPr>
        <w:t>Revised LDP</w:t>
      </w:r>
      <w:r w:rsidR="00945AA4" w:rsidRPr="39B524C6">
        <w:rPr>
          <w:rFonts w:ascii="Arial" w:hAnsi="Arial" w:cs="Arial"/>
        </w:rPr>
        <w:t>.</w:t>
      </w:r>
    </w:p>
    <w:p w14:paraId="7689102E" w14:textId="77777777" w:rsidR="00CB23EC" w:rsidRDefault="00CB23EC" w:rsidP="00087A96">
      <w:pPr>
        <w:spacing w:after="0"/>
        <w:rPr>
          <w:rFonts w:ascii="Arial" w:hAnsi="Arial" w:cs="Arial"/>
        </w:rPr>
      </w:pPr>
    </w:p>
    <w:p w14:paraId="24B2C4FA" w14:textId="5B2B95F2" w:rsidR="00CB23EC" w:rsidRDefault="00FA4FFE" w:rsidP="00087A96">
      <w:pPr>
        <w:spacing w:after="0"/>
        <w:rPr>
          <w:rFonts w:ascii="Arial" w:hAnsi="Arial" w:cs="Arial"/>
        </w:rPr>
      </w:pPr>
      <w:r>
        <w:rPr>
          <w:rFonts w:ascii="Arial" w:hAnsi="Arial" w:cs="Arial"/>
        </w:rPr>
        <w:t>2.2</w:t>
      </w:r>
      <w:r>
        <w:rPr>
          <w:rFonts w:ascii="Arial" w:hAnsi="Arial" w:cs="Arial"/>
        </w:rPr>
        <w:tab/>
      </w:r>
      <w:r w:rsidR="00C27C2D">
        <w:rPr>
          <w:rFonts w:ascii="Arial" w:hAnsi="Arial" w:cs="Arial"/>
        </w:rPr>
        <w:t>These implications include</w:t>
      </w:r>
      <w:r w:rsidR="009F3DD1">
        <w:rPr>
          <w:rFonts w:ascii="Arial" w:hAnsi="Arial" w:cs="Arial"/>
        </w:rPr>
        <w:t>:</w:t>
      </w:r>
    </w:p>
    <w:p w14:paraId="31598F20" w14:textId="16C8C89A" w:rsidR="009F3DD1" w:rsidRDefault="009F3DD1" w:rsidP="009F3DD1">
      <w:pPr>
        <w:pStyle w:val="ListParagraph"/>
        <w:numPr>
          <w:ilvl w:val="0"/>
          <w:numId w:val="6"/>
        </w:numPr>
        <w:spacing w:after="0"/>
        <w:rPr>
          <w:rFonts w:ascii="Arial" w:hAnsi="Arial" w:cs="Arial"/>
        </w:rPr>
      </w:pPr>
      <w:r w:rsidRPr="39B524C6">
        <w:rPr>
          <w:rFonts w:ascii="Arial" w:hAnsi="Arial" w:cs="Arial"/>
        </w:rPr>
        <w:t xml:space="preserve">Potential amendments to the </w:t>
      </w:r>
      <w:r w:rsidR="41A5D7EE" w:rsidRPr="39B524C6">
        <w:rPr>
          <w:rFonts w:ascii="Arial" w:hAnsi="Arial" w:cs="Arial"/>
        </w:rPr>
        <w:t xml:space="preserve">Revised </w:t>
      </w:r>
      <w:r w:rsidRPr="39B524C6">
        <w:rPr>
          <w:rFonts w:ascii="Arial" w:hAnsi="Arial" w:cs="Arial"/>
        </w:rPr>
        <w:t>LDP’s policies</w:t>
      </w:r>
      <w:r w:rsidR="069236F1" w:rsidRPr="39B524C6">
        <w:rPr>
          <w:rFonts w:ascii="Arial" w:hAnsi="Arial" w:cs="Arial"/>
        </w:rPr>
        <w:t>, provisions</w:t>
      </w:r>
      <w:r w:rsidR="00D64226" w:rsidRPr="39B524C6">
        <w:rPr>
          <w:rFonts w:ascii="Arial" w:hAnsi="Arial" w:cs="Arial"/>
        </w:rPr>
        <w:t xml:space="preserve"> and </w:t>
      </w:r>
      <w:r w:rsidR="155C7A1D" w:rsidRPr="39B524C6">
        <w:rPr>
          <w:rFonts w:ascii="Arial" w:hAnsi="Arial" w:cs="Arial"/>
        </w:rPr>
        <w:t xml:space="preserve">the proposals </w:t>
      </w:r>
      <w:proofErr w:type="gramStart"/>
      <w:r w:rsidR="00D64226" w:rsidRPr="39B524C6">
        <w:rPr>
          <w:rFonts w:ascii="Arial" w:hAnsi="Arial" w:cs="Arial"/>
        </w:rPr>
        <w:t>map</w:t>
      </w:r>
      <w:r w:rsidRPr="39B524C6">
        <w:rPr>
          <w:rFonts w:ascii="Arial" w:hAnsi="Arial" w:cs="Arial"/>
        </w:rPr>
        <w:t>;</w:t>
      </w:r>
      <w:proofErr w:type="gramEnd"/>
    </w:p>
    <w:p w14:paraId="694976CD" w14:textId="7ED78357" w:rsidR="009F3DD1" w:rsidRPr="00286449" w:rsidRDefault="00754B91" w:rsidP="00286449">
      <w:pPr>
        <w:pStyle w:val="ListParagraph"/>
        <w:numPr>
          <w:ilvl w:val="0"/>
          <w:numId w:val="6"/>
        </w:numPr>
        <w:spacing w:after="0"/>
        <w:rPr>
          <w:rFonts w:ascii="Arial" w:hAnsi="Arial" w:cs="Arial"/>
        </w:rPr>
      </w:pPr>
      <w:r>
        <w:rPr>
          <w:rFonts w:ascii="Arial" w:hAnsi="Arial" w:cs="Arial"/>
        </w:rPr>
        <w:t>Potential amendments to draft SPG prior to their adoption</w:t>
      </w:r>
    </w:p>
    <w:p w14:paraId="5B3A8FBB" w14:textId="77777777" w:rsidR="00087A96" w:rsidRPr="00286449" w:rsidRDefault="00087A96" w:rsidP="00286449">
      <w:pPr>
        <w:spacing w:after="0"/>
        <w:rPr>
          <w:rFonts w:ascii="Arial" w:hAnsi="Arial" w:cs="Arial"/>
        </w:rPr>
      </w:pPr>
    </w:p>
    <w:p w14:paraId="2346DE5C" w14:textId="305F1379" w:rsidR="00775992" w:rsidRPr="00286449" w:rsidRDefault="00FA4FFE" w:rsidP="00286449">
      <w:pPr>
        <w:spacing w:after="0" w:line="257" w:lineRule="auto"/>
        <w:rPr>
          <w:rFonts w:ascii="Arial" w:eastAsia="Aptos" w:hAnsi="Arial" w:cs="Arial"/>
          <w:lang w:val="en-US"/>
        </w:rPr>
      </w:pPr>
      <w:r w:rsidRPr="39B524C6">
        <w:rPr>
          <w:rFonts w:ascii="Arial" w:eastAsia="Aptos" w:hAnsi="Arial" w:cs="Arial"/>
          <w:lang w:val="en-US"/>
        </w:rPr>
        <w:t>2.3</w:t>
      </w:r>
      <w:r>
        <w:tab/>
      </w:r>
      <w:r w:rsidR="7CEDD788" w:rsidRPr="39B524C6">
        <w:rPr>
          <w:rFonts w:ascii="Arial" w:eastAsia="Aptos" w:hAnsi="Arial" w:cs="Arial"/>
          <w:lang w:val="en-US"/>
        </w:rPr>
        <w:t xml:space="preserve">The Council, in </w:t>
      </w:r>
      <w:proofErr w:type="spellStart"/>
      <w:r w:rsidR="7CEDD788" w:rsidRPr="39B524C6">
        <w:rPr>
          <w:rFonts w:ascii="Arial" w:eastAsia="Aptos" w:hAnsi="Arial" w:cs="Arial"/>
          <w:lang w:val="en-US"/>
        </w:rPr>
        <w:t>recognising</w:t>
      </w:r>
      <w:proofErr w:type="spellEnd"/>
      <w:r w:rsidR="7CEDD788" w:rsidRPr="39B524C6">
        <w:rPr>
          <w:rFonts w:ascii="Arial" w:eastAsia="Aptos" w:hAnsi="Arial" w:cs="Arial"/>
          <w:lang w:val="en-US"/>
        </w:rPr>
        <w:t xml:space="preserve"> the content of the new TAN15 and the recent updates to the Flood Map for </w:t>
      </w:r>
      <w:r w:rsidR="76736E3E" w:rsidRPr="39B524C6">
        <w:rPr>
          <w:rFonts w:ascii="Arial" w:eastAsia="Aptos" w:hAnsi="Arial" w:cs="Arial"/>
          <w:lang w:val="en-US"/>
        </w:rPr>
        <w:t>Planning,</w:t>
      </w:r>
      <w:r w:rsidR="7CEDD788" w:rsidRPr="39B524C6">
        <w:rPr>
          <w:rFonts w:ascii="Arial" w:eastAsia="Aptos" w:hAnsi="Arial" w:cs="Arial"/>
          <w:lang w:val="en-US"/>
        </w:rPr>
        <w:t xml:space="preserve"> will undertake a further review of the plan's allocations noting where they are subject to specific flood risk.  This work will build on the SFCAs presented as part of the Plan’s submission documents as well as the assessment undertaken as part of the Inspectors’ Initial Questions.  This will seek to ensure the deliberations of the examination into the Revised LDP is suitably informed by updated evidence and reflective of emerging national planning policy.  We propose to agree to the timescale for this work with the Inspectors.</w:t>
      </w:r>
    </w:p>
    <w:p w14:paraId="4908622B" w14:textId="2E789B7A" w:rsidR="00775992" w:rsidRPr="00286449" w:rsidRDefault="00775992" w:rsidP="00286449">
      <w:pPr>
        <w:spacing w:after="0"/>
        <w:rPr>
          <w:rFonts w:ascii="Arial" w:hAnsi="Arial" w:cs="Arial"/>
        </w:rPr>
      </w:pPr>
    </w:p>
    <w:p w14:paraId="1FDE4F30" w14:textId="3D15C104" w:rsidR="00B11BD3" w:rsidRPr="00286449" w:rsidRDefault="00FA4FFE" w:rsidP="00286449">
      <w:pPr>
        <w:spacing w:after="0"/>
        <w:rPr>
          <w:rFonts w:ascii="Arial" w:hAnsi="Arial" w:cs="Arial"/>
        </w:rPr>
      </w:pPr>
      <w:r>
        <w:rPr>
          <w:rFonts w:ascii="Arial" w:hAnsi="Arial" w:cs="Arial"/>
        </w:rPr>
        <w:t>2.4</w:t>
      </w:r>
      <w:r>
        <w:rPr>
          <w:rFonts w:ascii="Arial" w:hAnsi="Arial" w:cs="Arial"/>
        </w:rPr>
        <w:tab/>
      </w:r>
      <w:r w:rsidR="00290DC7" w:rsidRPr="00286449">
        <w:rPr>
          <w:rFonts w:ascii="Arial" w:hAnsi="Arial" w:cs="Arial"/>
        </w:rPr>
        <w:t>T</w:t>
      </w:r>
      <w:r w:rsidR="00B11BD3" w:rsidRPr="00286449">
        <w:rPr>
          <w:rFonts w:ascii="Arial" w:hAnsi="Arial" w:cs="Arial"/>
        </w:rPr>
        <w:t>he following paragraph</w:t>
      </w:r>
      <w:r w:rsidR="000B23C6" w:rsidRPr="00286449">
        <w:rPr>
          <w:rFonts w:ascii="Arial" w:hAnsi="Arial" w:cs="Arial"/>
        </w:rPr>
        <w:t>s</w:t>
      </w:r>
      <w:r w:rsidR="00B11BD3" w:rsidRPr="00286449">
        <w:rPr>
          <w:rFonts w:ascii="Arial" w:hAnsi="Arial" w:cs="Arial"/>
        </w:rPr>
        <w:t xml:space="preserve"> are taken from the </w:t>
      </w:r>
      <w:r w:rsidR="00A218E9" w:rsidRPr="00286449">
        <w:rPr>
          <w:rFonts w:ascii="Arial" w:hAnsi="Arial" w:cs="Arial"/>
        </w:rPr>
        <w:t>Revised</w:t>
      </w:r>
      <w:r w:rsidR="00B11BD3" w:rsidRPr="00286449">
        <w:rPr>
          <w:rFonts w:ascii="Arial" w:hAnsi="Arial" w:cs="Arial"/>
        </w:rPr>
        <w:t xml:space="preserve"> TAN 15</w:t>
      </w:r>
      <w:r w:rsidR="00290DC7" w:rsidRPr="00286449">
        <w:rPr>
          <w:rFonts w:ascii="Arial" w:hAnsi="Arial" w:cs="Arial"/>
        </w:rPr>
        <w:t xml:space="preserve"> and rele</w:t>
      </w:r>
      <w:r w:rsidR="00B139CE" w:rsidRPr="00286449">
        <w:rPr>
          <w:rFonts w:ascii="Arial" w:hAnsi="Arial" w:cs="Arial"/>
        </w:rPr>
        <w:t>vant wording is set out</w:t>
      </w:r>
      <w:r w:rsidR="00A218E9" w:rsidRPr="00286449">
        <w:rPr>
          <w:rFonts w:ascii="Arial" w:hAnsi="Arial" w:cs="Arial"/>
        </w:rPr>
        <w:t>; the Council’s assessment of potential implication</w:t>
      </w:r>
      <w:r w:rsidR="004C2A3A" w:rsidRPr="00286449">
        <w:rPr>
          <w:rFonts w:ascii="Arial" w:hAnsi="Arial" w:cs="Arial"/>
        </w:rPr>
        <w:t>s on the Revised LDP a</w:t>
      </w:r>
      <w:r w:rsidR="00405C97" w:rsidRPr="00286449">
        <w:rPr>
          <w:rFonts w:ascii="Arial" w:hAnsi="Arial" w:cs="Arial"/>
        </w:rPr>
        <w:t>re set out, together with the detailed nature of how these</w:t>
      </w:r>
      <w:r w:rsidR="004B4A04" w:rsidRPr="00286449">
        <w:rPr>
          <w:rFonts w:ascii="Arial" w:hAnsi="Arial" w:cs="Arial"/>
        </w:rPr>
        <w:t xml:space="preserve"> implications will be addressed.</w:t>
      </w:r>
    </w:p>
    <w:p w14:paraId="41B0E050" w14:textId="77777777" w:rsidR="008860FB" w:rsidRPr="00286449" w:rsidRDefault="008860FB" w:rsidP="00286449">
      <w:pPr>
        <w:spacing w:after="0"/>
        <w:rPr>
          <w:rFonts w:ascii="Arial" w:hAnsi="Arial" w:cs="Arial"/>
        </w:rPr>
      </w:pPr>
    </w:p>
    <w:p w14:paraId="653D3F84" w14:textId="77777777" w:rsidR="00FC4006" w:rsidRDefault="00FC4006" w:rsidP="00B11BD3">
      <w:pPr>
        <w:rPr>
          <w:rStyle w:val="Heading2Char"/>
        </w:rPr>
        <w:sectPr w:rsidR="00FC4006">
          <w:pgSz w:w="11906" w:h="16838"/>
          <w:pgMar w:top="1440" w:right="1440" w:bottom="1440" w:left="1440" w:header="708" w:footer="708" w:gutter="0"/>
          <w:cols w:space="708"/>
          <w:docGrid w:linePitch="360"/>
        </w:sectPr>
      </w:pPr>
    </w:p>
    <w:p w14:paraId="50098E9F" w14:textId="2BC9B8B9" w:rsidR="00E34D23" w:rsidRPr="006E6B87" w:rsidRDefault="006E6B87" w:rsidP="006E6B87">
      <w:pPr>
        <w:pStyle w:val="Heading1"/>
        <w:rPr>
          <w:rStyle w:val="Heading2Char"/>
          <w:rFonts w:asciiTheme="majorHAnsi" w:hAnsiTheme="majorHAnsi"/>
          <w:color w:val="0F4761" w:themeColor="accent1" w:themeShade="BF"/>
          <w:sz w:val="28"/>
          <w:szCs w:val="28"/>
        </w:rPr>
      </w:pPr>
      <w:r w:rsidRPr="006E6B87">
        <w:rPr>
          <w:rStyle w:val="Heading2Char"/>
          <w:rFonts w:asciiTheme="majorHAnsi" w:hAnsiTheme="majorHAnsi"/>
          <w:color w:val="0F4761" w:themeColor="accent1" w:themeShade="BF"/>
          <w:sz w:val="28"/>
          <w:szCs w:val="28"/>
        </w:rPr>
        <w:lastRenderedPageBreak/>
        <w:t>TAN15 – Chapter 4 – Wales Flood Map</w:t>
      </w:r>
    </w:p>
    <w:p w14:paraId="5E7FC5E3" w14:textId="64C61820" w:rsidR="00E34D23" w:rsidRDefault="00C83B18" w:rsidP="00E34D23">
      <w:pPr>
        <w:pStyle w:val="Heading2"/>
      </w:pPr>
      <w:r w:rsidRPr="00E34D23">
        <w:rPr>
          <w:rStyle w:val="Heading2Char"/>
        </w:rPr>
        <w:t>Para</w:t>
      </w:r>
      <w:r w:rsidR="001C661E" w:rsidRPr="00E34D23">
        <w:rPr>
          <w:rStyle w:val="Heading2Char"/>
        </w:rPr>
        <w:t>graph</w:t>
      </w:r>
      <w:r w:rsidRPr="00E34D23">
        <w:rPr>
          <w:rStyle w:val="Heading2Char"/>
        </w:rPr>
        <w:t xml:space="preserve"> 4.14</w:t>
      </w:r>
      <w:r w:rsidRPr="00C83B18">
        <w:t xml:space="preserve"> </w:t>
      </w:r>
    </w:p>
    <w:p w14:paraId="2668DAE7" w14:textId="0EEE13F1" w:rsidR="00C7753D" w:rsidRDefault="00277E2B" w:rsidP="00E34D23">
      <w:r>
        <w:t>‘</w:t>
      </w:r>
      <w:r w:rsidRPr="0054129A">
        <w:t>The reservoir inundation maps on the Flood Map for Planning should be consulted when preparing Development Plans</w:t>
      </w:r>
      <w:r>
        <w:t xml:space="preserve">.’ </w:t>
      </w:r>
    </w:p>
    <w:p w14:paraId="7414BB24" w14:textId="77777777" w:rsidR="00E34D23" w:rsidRDefault="00E34D23" w:rsidP="00B11BD3">
      <w:pPr>
        <w:rPr>
          <w:b/>
          <w:bCs/>
          <w:i/>
          <w:iCs/>
        </w:rPr>
      </w:pPr>
    </w:p>
    <w:p w14:paraId="46E77EEA" w14:textId="66D77E4A" w:rsidR="00B139CE" w:rsidRPr="00EB3171" w:rsidRDefault="00EB3171" w:rsidP="00B11BD3">
      <w:pPr>
        <w:rPr>
          <w:b/>
          <w:bCs/>
          <w:i/>
          <w:iCs/>
        </w:rPr>
      </w:pPr>
      <w:r w:rsidRPr="00EB3171">
        <w:rPr>
          <w:b/>
          <w:bCs/>
          <w:i/>
          <w:iCs/>
        </w:rPr>
        <w:t>How these implications will be addressed:</w:t>
      </w:r>
    </w:p>
    <w:p w14:paraId="2E909A8A" w14:textId="0878D481" w:rsidR="00B11BD3" w:rsidRPr="00B11BD3" w:rsidRDefault="3D60C0C3" w:rsidP="39B524C6">
      <w:pPr>
        <w:pBdr>
          <w:bottom w:val="single" w:sz="12" w:space="1" w:color="auto"/>
        </w:pBdr>
      </w:pPr>
      <w:r w:rsidRPr="39B524C6">
        <w:rPr>
          <w:rFonts w:ascii="Aptos" w:eastAsia="Aptos" w:hAnsi="Aptos" w:cs="Aptos"/>
        </w:rPr>
        <w:t xml:space="preserve">The risk of inundation due to reservoir breach or failure of reservoirs has been assessed </w:t>
      </w:r>
      <w:r w:rsidR="7703878D" w:rsidRPr="39B524C6">
        <w:rPr>
          <w:rFonts w:ascii="Aptos" w:eastAsia="Aptos" w:hAnsi="Aptos" w:cs="Aptos"/>
        </w:rPr>
        <w:t xml:space="preserve">as part of the SFCA prepared to </w:t>
      </w:r>
      <w:r w:rsidR="1B17EC26" w:rsidRPr="39B524C6">
        <w:rPr>
          <w:rFonts w:ascii="Aptos" w:eastAsia="Aptos" w:hAnsi="Aptos" w:cs="Aptos"/>
        </w:rPr>
        <w:t>support</w:t>
      </w:r>
      <w:r w:rsidR="7703878D" w:rsidRPr="39B524C6">
        <w:rPr>
          <w:rFonts w:ascii="Aptos" w:eastAsia="Aptos" w:hAnsi="Aptos" w:cs="Aptos"/>
        </w:rPr>
        <w:t xml:space="preserve"> the Plan and available as part of the Submission Documents.  This </w:t>
      </w:r>
      <w:r w:rsidRPr="39B524C6">
        <w:rPr>
          <w:rFonts w:ascii="Aptos" w:eastAsia="Aptos" w:hAnsi="Aptos" w:cs="Aptos"/>
        </w:rPr>
        <w:t>u</w:t>
      </w:r>
      <w:r w:rsidR="41D299D5" w:rsidRPr="39B524C6">
        <w:rPr>
          <w:rFonts w:ascii="Aptos" w:eastAsia="Aptos" w:hAnsi="Aptos" w:cs="Aptos"/>
        </w:rPr>
        <w:t>tilised</w:t>
      </w:r>
      <w:r w:rsidRPr="39B524C6">
        <w:rPr>
          <w:rFonts w:ascii="Aptos" w:eastAsia="Aptos" w:hAnsi="Aptos" w:cs="Aptos"/>
        </w:rPr>
        <w:t xml:space="preserve"> the NRW’s ‘Flood Risk from Reservoirs dataset’</w:t>
      </w:r>
      <w:r w:rsidR="0EEAEA3A" w:rsidRPr="39B524C6">
        <w:rPr>
          <w:rFonts w:ascii="Aptos" w:eastAsia="Aptos" w:hAnsi="Aptos" w:cs="Aptos"/>
        </w:rPr>
        <w:t xml:space="preserve">.  </w:t>
      </w:r>
      <w:r w:rsidR="7DC43233" w:rsidRPr="39B524C6">
        <w:rPr>
          <w:rFonts w:ascii="Aptos" w:eastAsia="Aptos" w:hAnsi="Aptos" w:cs="Aptos"/>
        </w:rPr>
        <w:t>Consequently,</w:t>
      </w:r>
      <w:r w:rsidRPr="39B524C6">
        <w:rPr>
          <w:rFonts w:ascii="Aptos" w:eastAsia="Aptos" w:hAnsi="Aptos" w:cs="Aptos"/>
        </w:rPr>
        <w:t xml:space="preserve"> </w:t>
      </w:r>
      <w:r w:rsidR="7EF8079C" w:rsidRPr="39B524C6">
        <w:rPr>
          <w:rFonts w:ascii="Aptos" w:eastAsia="Aptos" w:hAnsi="Aptos" w:cs="Aptos"/>
        </w:rPr>
        <w:t>this</w:t>
      </w:r>
      <w:r w:rsidRPr="39B524C6">
        <w:rPr>
          <w:rFonts w:ascii="Aptos" w:eastAsia="Aptos" w:hAnsi="Aptos" w:cs="Aptos"/>
        </w:rPr>
        <w:t xml:space="preserve"> informed the content of the 2</w:t>
      </w:r>
      <w:r w:rsidRPr="39B524C6">
        <w:rPr>
          <w:rFonts w:ascii="Aptos" w:eastAsia="Aptos" w:hAnsi="Aptos" w:cs="Aptos"/>
          <w:vertAlign w:val="superscript"/>
        </w:rPr>
        <w:t>nd</w:t>
      </w:r>
      <w:r w:rsidRPr="39B524C6">
        <w:rPr>
          <w:rFonts w:ascii="Aptos" w:eastAsia="Aptos" w:hAnsi="Aptos" w:cs="Aptos"/>
        </w:rPr>
        <w:t xml:space="preserve"> Deposit Revised</w:t>
      </w:r>
      <w:r w:rsidR="57176F80" w:rsidRPr="39B524C6">
        <w:rPr>
          <w:rFonts w:ascii="Aptos" w:eastAsia="Aptos" w:hAnsi="Aptos" w:cs="Aptos"/>
        </w:rPr>
        <w:t xml:space="preserve"> LDP.  </w:t>
      </w:r>
      <w:r w:rsidR="489DB56E" w:rsidRPr="39B524C6">
        <w:rPr>
          <w:rFonts w:ascii="Aptos" w:eastAsia="Aptos" w:hAnsi="Aptos" w:cs="Aptos"/>
        </w:rPr>
        <w:t xml:space="preserve">Whilst the Council is satisfied that the SFCA suitably considers this aspect of the </w:t>
      </w:r>
      <w:r w:rsidR="20A23C94" w:rsidRPr="39B524C6">
        <w:rPr>
          <w:rFonts w:ascii="Aptos" w:eastAsia="Aptos" w:hAnsi="Aptos" w:cs="Aptos"/>
        </w:rPr>
        <w:t xml:space="preserve">revised </w:t>
      </w:r>
      <w:r w:rsidR="489DB56E" w:rsidRPr="39B524C6">
        <w:rPr>
          <w:rFonts w:ascii="Aptos" w:eastAsia="Aptos" w:hAnsi="Aptos" w:cs="Aptos"/>
        </w:rPr>
        <w:t xml:space="preserve">TAN15 </w:t>
      </w:r>
      <w:r w:rsidR="1ADEB01B">
        <w:t xml:space="preserve">a proposed review of sites </w:t>
      </w:r>
      <w:r w:rsidR="1C699DDC">
        <w:t>will be undertaken (see above)</w:t>
      </w:r>
      <w:r w:rsidR="43C5EC30">
        <w:t xml:space="preserve"> </w:t>
      </w:r>
      <w:r w:rsidR="4197A51A">
        <w:t>including any changes in the</w:t>
      </w:r>
      <w:r w:rsidR="43C5EC30">
        <w:t xml:space="preserve"> implications of </w:t>
      </w:r>
      <w:r w:rsidR="30DE9B6D">
        <w:t>reservoir inundation</w:t>
      </w:r>
      <w:r w:rsidR="00D33BA9">
        <w:t xml:space="preserve"> </w:t>
      </w:r>
      <w:r w:rsidR="00210A42">
        <w:t>(particularly in relation to</w:t>
      </w:r>
      <w:r w:rsidR="003908DC">
        <w:t xml:space="preserve"> Llyn Brianne Reservoir and</w:t>
      </w:r>
      <w:r w:rsidR="00210A42">
        <w:t xml:space="preserve"> the River Towy catchment</w:t>
      </w:r>
      <w:r w:rsidR="003908DC">
        <w:t xml:space="preserve">). </w:t>
      </w:r>
      <w:r w:rsidR="00037583">
        <w:t xml:space="preserve"> </w:t>
      </w:r>
      <w:r w:rsidR="00B10B7A">
        <w:t xml:space="preserve">The following settlements </w:t>
      </w:r>
      <w:r w:rsidR="00AE12AC">
        <w:t xml:space="preserve">are potentially affected - </w:t>
      </w:r>
      <w:proofErr w:type="spellStart"/>
      <w:r w:rsidR="00C83B18">
        <w:t>Nantgaredig</w:t>
      </w:r>
      <w:proofErr w:type="spellEnd"/>
      <w:r w:rsidR="00C83B18">
        <w:t xml:space="preserve">, </w:t>
      </w:r>
      <w:proofErr w:type="spellStart"/>
      <w:r w:rsidR="00C83B18">
        <w:t>Llangadog</w:t>
      </w:r>
      <w:proofErr w:type="spellEnd"/>
      <w:r w:rsidR="00C83B18">
        <w:t>, Llandovery</w:t>
      </w:r>
      <w:r w:rsidR="009310E2">
        <w:t xml:space="preserve">, </w:t>
      </w:r>
      <w:proofErr w:type="spellStart"/>
      <w:r w:rsidR="009310E2">
        <w:t>Abergwili</w:t>
      </w:r>
      <w:proofErr w:type="spellEnd"/>
      <w:r w:rsidR="00DC46FE">
        <w:t>,</w:t>
      </w:r>
      <w:r w:rsidR="003B0EC0">
        <w:t xml:space="preserve"> </w:t>
      </w:r>
      <w:r w:rsidR="00AE12AC">
        <w:t xml:space="preserve">and </w:t>
      </w:r>
      <w:r w:rsidR="003B0EC0">
        <w:t>Carmarthen (adj</w:t>
      </w:r>
      <w:r w:rsidR="00F746E2">
        <w:t>acent</w:t>
      </w:r>
      <w:r w:rsidR="003B0EC0">
        <w:t xml:space="preserve"> Leisure Centre)</w:t>
      </w:r>
      <w:r w:rsidR="00AE12AC">
        <w:t>.</w:t>
      </w:r>
    </w:p>
    <w:p w14:paraId="075A13B7" w14:textId="77777777" w:rsidR="00FE3724" w:rsidRDefault="00FE3724" w:rsidP="00B11BD3"/>
    <w:p w14:paraId="35599DF6" w14:textId="6ED5B260" w:rsidR="006E6B87" w:rsidRDefault="006E6B87" w:rsidP="00CA3872">
      <w:pPr>
        <w:pStyle w:val="Heading1"/>
        <w:rPr>
          <w:sz w:val="28"/>
          <w:szCs w:val="28"/>
        </w:rPr>
      </w:pPr>
      <w:r w:rsidRPr="00CA3872">
        <w:rPr>
          <w:sz w:val="28"/>
          <w:szCs w:val="28"/>
        </w:rPr>
        <w:t>TAN15 – Chapter 5</w:t>
      </w:r>
      <w:r w:rsidR="00CA3872" w:rsidRPr="00CA3872">
        <w:rPr>
          <w:sz w:val="28"/>
          <w:szCs w:val="28"/>
        </w:rPr>
        <w:t>. Strategic Flood Consequence Asses</w:t>
      </w:r>
      <w:r w:rsidR="00CA3872">
        <w:rPr>
          <w:sz w:val="28"/>
          <w:szCs w:val="28"/>
        </w:rPr>
        <w:t>s</w:t>
      </w:r>
      <w:r w:rsidR="00CA3872" w:rsidRPr="00CA3872">
        <w:rPr>
          <w:sz w:val="28"/>
          <w:szCs w:val="28"/>
        </w:rPr>
        <w:t>ment</w:t>
      </w:r>
    </w:p>
    <w:p w14:paraId="1A4CA805" w14:textId="77777777" w:rsidR="00CA3872" w:rsidRPr="00CA3872" w:rsidRDefault="00CA3872" w:rsidP="00CA3872"/>
    <w:p w14:paraId="5F48DB7F" w14:textId="77777777" w:rsidR="00E34D23" w:rsidRDefault="0022474C" w:rsidP="00E34D23">
      <w:pPr>
        <w:pStyle w:val="Heading2"/>
      </w:pPr>
      <w:r w:rsidRPr="00E34D23">
        <w:rPr>
          <w:rStyle w:val="Heading2Char"/>
        </w:rPr>
        <w:t xml:space="preserve">Paragraph </w:t>
      </w:r>
      <w:r w:rsidR="00B11BD3" w:rsidRPr="00E34D23">
        <w:rPr>
          <w:rStyle w:val="Heading2Char"/>
        </w:rPr>
        <w:t>5.1</w:t>
      </w:r>
      <w:r w:rsidR="00B11BD3" w:rsidRPr="00B11BD3">
        <w:t xml:space="preserve"> </w:t>
      </w:r>
    </w:p>
    <w:p w14:paraId="69D49DFD" w14:textId="334333A3" w:rsidR="00F91B45" w:rsidRDefault="00F91B45" w:rsidP="00B11BD3">
      <w:r>
        <w:t>‘</w:t>
      </w:r>
      <w:r w:rsidR="00B11BD3" w:rsidRPr="0054129A">
        <w:rPr>
          <w:i/>
          <w:iCs/>
        </w:rPr>
        <w:t xml:space="preserve">A </w:t>
      </w:r>
      <w:r w:rsidR="00E6791F" w:rsidRPr="0054129A">
        <w:rPr>
          <w:i/>
          <w:iCs/>
        </w:rPr>
        <w:t>Strategic Flood Consequences Assessment (</w:t>
      </w:r>
      <w:r w:rsidR="00B11BD3" w:rsidRPr="0054129A">
        <w:rPr>
          <w:i/>
          <w:iCs/>
        </w:rPr>
        <w:t>SFCA</w:t>
      </w:r>
      <w:r w:rsidR="00E6791F" w:rsidRPr="0054129A">
        <w:rPr>
          <w:i/>
          <w:iCs/>
        </w:rPr>
        <w:t>)</w:t>
      </w:r>
      <w:r w:rsidR="00B11BD3" w:rsidRPr="0054129A">
        <w:rPr>
          <w:i/>
          <w:iCs/>
        </w:rPr>
        <w:t xml:space="preserve"> must be undertaken to provide the evidence to inform policies and site selection for all Strategic and Local Development Plans</w:t>
      </w:r>
      <w:r w:rsidR="00B11BD3" w:rsidRPr="00B11BD3">
        <w:t>.</w:t>
      </w:r>
      <w:r>
        <w:t>’</w:t>
      </w:r>
    </w:p>
    <w:p w14:paraId="309C9907" w14:textId="30E14F57" w:rsidR="00B11BD3" w:rsidRPr="00F91B45" w:rsidRDefault="00B11BD3" w:rsidP="00B11BD3"/>
    <w:p w14:paraId="4194954C" w14:textId="77777777" w:rsidR="002E57B0" w:rsidRPr="00EB3171" w:rsidRDefault="002E57B0" w:rsidP="002E57B0">
      <w:pPr>
        <w:rPr>
          <w:b/>
          <w:bCs/>
          <w:i/>
          <w:iCs/>
        </w:rPr>
      </w:pPr>
      <w:r w:rsidRPr="00EB3171">
        <w:rPr>
          <w:b/>
          <w:bCs/>
          <w:i/>
          <w:iCs/>
        </w:rPr>
        <w:t>How these implications will be addressed:</w:t>
      </w:r>
    </w:p>
    <w:p w14:paraId="3CB85FE3" w14:textId="767748D3" w:rsidR="0025173B" w:rsidRDefault="00DF64AA" w:rsidP="00B11BD3">
      <w:r>
        <w:t>As noted above, f</w:t>
      </w:r>
      <w:r w:rsidR="00AF5D43">
        <w:t>lood risk has been a consideration throughout the preparation of the Plan</w:t>
      </w:r>
      <w:r w:rsidR="006D41B6">
        <w:t xml:space="preserve">. </w:t>
      </w:r>
      <w:r w:rsidR="002F0DCA">
        <w:t>Th</w:t>
      </w:r>
      <w:r w:rsidR="006D41B6">
        <w:t>e</w:t>
      </w:r>
      <w:r w:rsidR="002F0DCA">
        <w:t xml:space="preserve"> evidence</w:t>
      </w:r>
      <w:r w:rsidR="006D41B6">
        <w:t xml:space="preserve"> prepared</w:t>
      </w:r>
      <w:r w:rsidR="002F0DCA">
        <w:t xml:space="preserve"> was </w:t>
      </w:r>
      <w:r w:rsidR="21332B78">
        <w:t>supplemented</w:t>
      </w:r>
      <w:r w:rsidR="002F0DCA">
        <w:t xml:space="preserve"> by a further assessment of sites in response to the Inspector’s Initial Questions. We consider the evidence produced is sufficiently robust</w:t>
      </w:r>
      <w:r w:rsidR="002A194C">
        <w:t xml:space="preserve"> to inform and support the Plan, however </w:t>
      </w:r>
      <w:r w:rsidR="00CB286B">
        <w:t>it was produced at a specific point in time</w:t>
      </w:r>
      <w:r w:rsidR="00420D0E">
        <w:t xml:space="preserve"> </w:t>
      </w:r>
      <w:r w:rsidR="002A194C">
        <w:t xml:space="preserve">and should be reviewed </w:t>
      </w:r>
      <w:proofErr w:type="gramStart"/>
      <w:r w:rsidR="002A194C">
        <w:t>in light of</w:t>
      </w:r>
      <w:proofErr w:type="gramEnd"/>
      <w:r w:rsidR="002A194C">
        <w:t xml:space="preserve"> </w:t>
      </w:r>
      <w:r w:rsidR="50DFD33E">
        <w:t xml:space="preserve">the latest </w:t>
      </w:r>
      <w:r w:rsidR="7A8764AC">
        <w:t>version</w:t>
      </w:r>
      <w:r w:rsidR="50DFD33E">
        <w:t xml:space="preserve"> of the </w:t>
      </w:r>
      <w:r w:rsidR="032594D1">
        <w:t>F</w:t>
      </w:r>
      <w:r w:rsidR="002A194C">
        <w:t xml:space="preserve">lood </w:t>
      </w:r>
      <w:r w:rsidR="775FF161">
        <w:t>M</w:t>
      </w:r>
      <w:r w:rsidR="002A194C">
        <w:t>ap</w:t>
      </w:r>
      <w:r w:rsidR="2BB99185">
        <w:t xml:space="preserve"> for </w:t>
      </w:r>
      <w:r w:rsidR="23AD55D9">
        <w:t>P</w:t>
      </w:r>
      <w:r w:rsidR="2BB99185">
        <w:t>lanning, relevant changes within TAN15</w:t>
      </w:r>
      <w:r w:rsidR="002A194C">
        <w:t xml:space="preserve"> and any updated evidence</w:t>
      </w:r>
      <w:r w:rsidR="4ED1B246">
        <w:t xml:space="preserve"> </w:t>
      </w:r>
      <w:r w:rsidR="51233909">
        <w:t>(see the response above in relation to paragraph 5.1)</w:t>
      </w:r>
      <w:r w:rsidR="00791E7F">
        <w:t xml:space="preserve">.  </w:t>
      </w:r>
    </w:p>
    <w:p w14:paraId="7F19D122" w14:textId="77777777" w:rsidR="009202A4" w:rsidRDefault="009202A4" w:rsidP="00B11BD3">
      <w:pPr>
        <w:rPr>
          <w:b/>
          <w:bCs/>
        </w:rPr>
      </w:pPr>
    </w:p>
    <w:p w14:paraId="17065F27" w14:textId="25B5F629" w:rsidR="00B11BD3" w:rsidRDefault="00727527" w:rsidP="39B524C6">
      <w:pPr>
        <w:pBdr>
          <w:bottom w:val="single" w:sz="12" w:space="1" w:color="auto"/>
        </w:pBdr>
      </w:pPr>
      <w:r w:rsidRPr="39B524C6">
        <w:rPr>
          <w:b/>
          <w:bCs/>
        </w:rPr>
        <w:lastRenderedPageBreak/>
        <w:t>Paragraph 5.1</w:t>
      </w:r>
      <w:r>
        <w:t xml:space="preserve"> goes on to stress that </w:t>
      </w:r>
      <w:r w:rsidR="009D001A" w:rsidRPr="39B524C6">
        <w:rPr>
          <w:i/>
          <w:iCs/>
        </w:rPr>
        <w:t>SFCAs should evolve and develop over the plan-making process when more information is available and more decisions regarding the content of the Development Plan are taken</w:t>
      </w:r>
      <w:r w:rsidR="009D001A">
        <w:t xml:space="preserve">. </w:t>
      </w:r>
      <w:r w:rsidR="00B52CB2">
        <w:t xml:space="preserve"> </w:t>
      </w:r>
    </w:p>
    <w:p w14:paraId="56FBFA44" w14:textId="79EBB76A" w:rsidR="00B11BD3" w:rsidRDefault="5DDA1877" w:rsidP="39B524C6">
      <w:pPr>
        <w:pBdr>
          <w:bottom w:val="single" w:sz="12" w:space="1" w:color="auto"/>
        </w:pBdr>
      </w:pPr>
      <w:r>
        <w:t xml:space="preserve">Reference is made to paragraph 1.2 to 1.5 above which outlines the work undertaken in relation to understanding </w:t>
      </w:r>
      <w:r w:rsidR="18A284F5">
        <w:t xml:space="preserve">and developing the evidence base in relation to </w:t>
      </w:r>
      <w:r>
        <w:t>flood risk</w:t>
      </w:r>
      <w:r w:rsidR="48A8560E">
        <w:t xml:space="preserve"> during the Plan period.  This clearly indicates the role </w:t>
      </w:r>
      <w:r w:rsidR="2F4EACA5">
        <w:t>SFCAs,</w:t>
      </w:r>
      <w:r w:rsidR="48A8560E">
        <w:t xml:space="preserve"> and other assessments have played in informing the </w:t>
      </w:r>
      <w:r w:rsidR="0BB8FDDF">
        <w:t>decision making in relation to the content of the Plan</w:t>
      </w:r>
      <w:r w:rsidR="26BB0180">
        <w:t xml:space="preserve"> (specific reference is made to submission document CSD226 and the Council’s response to the Inspector’s Initial Questions in the evidence base)</w:t>
      </w:r>
      <w:r w:rsidR="0BB8FDDF">
        <w:t>.  This is further supplemented by the additional re-assessment outlined in this note</w:t>
      </w:r>
      <w:r w:rsidR="42038047">
        <w:t xml:space="preserve"> and</w:t>
      </w:r>
      <w:r w:rsidR="0BB8FDDF">
        <w:t xml:space="preserve"> </w:t>
      </w:r>
      <w:proofErr w:type="gramStart"/>
      <w:r w:rsidR="0BB8FDDF">
        <w:t>in light of</w:t>
      </w:r>
      <w:proofErr w:type="gramEnd"/>
      <w:r w:rsidR="0BB8FDDF">
        <w:t xml:space="preserve"> the latest iteration of the Flood Map for Plan</w:t>
      </w:r>
      <w:r w:rsidR="614B43A8">
        <w:t>ning and in response to the content of the revised TAN</w:t>
      </w:r>
      <w:r w:rsidR="5A51A708">
        <w:t>15.</w:t>
      </w:r>
      <w:r w:rsidR="006A67FD">
        <w:t xml:space="preserve">  </w:t>
      </w:r>
      <w:r w:rsidR="00565CFF">
        <w:t>Consequently,</w:t>
      </w:r>
      <w:r w:rsidR="006A67FD">
        <w:t xml:space="preserve"> we consider that</w:t>
      </w:r>
      <w:r w:rsidR="00136C0B">
        <w:t xml:space="preserve"> the Plan and the evidence </w:t>
      </w:r>
      <w:r w:rsidR="162C2E29">
        <w:t>i</w:t>
      </w:r>
      <w:r w:rsidR="00136C0B">
        <w:t xml:space="preserve">s sufficiently robust </w:t>
      </w:r>
      <w:r w:rsidR="3B585BEE">
        <w:t>h</w:t>
      </w:r>
      <w:r w:rsidR="00575427">
        <w:t xml:space="preserve">owever, </w:t>
      </w:r>
      <w:r w:rsidR="007156BB">
        <w:t xml:space="preserve">the Council </w:t>
      </w:r>
      <w:r w:rsidR="004513D2">
        <w:t>proposes to</w:t>
      </w:r>
      <w:r w:rsidR="007156BB">
        <w:t xml:space="preserve"> undertake a re-assessment</w:t>
      </w:r>
      <w:r w:rsidR="003058BA">
        <w:t xml:space="preserve"> of the implications of the </w:t>
      </w:r>
      <w:r w:rsidR="004513D2">
        <w:t xml:space="preserve">Revised </w:t>
      </w:r>
      <w:r w:rsidR="003058BA">
        <w:t xml:space="preserve">TAN </w:t>
      </w:r>
      <w:r w:rsidR="218B68D4">
        <w:t>as outlined above.</w:t>
      </w:r>
      <w:r w:rsidR="003058BA">
        <w:t xml:space="preserve"> </w:t>
      </w:r>
    </w:p>
    <w:p w14:paraId="0241F2F3" w14:textId="77777777" w:rsidR="00FE3724" w:rsidRDefault="00FE3724" w:rsidP="00B11BD3"/>
    <w:p w14:paraId="243420EB" w14:textId="3FD8DBD5" w:rsidR="002101EC" w:rsidRPr="00B9615B" w:rsidRDefault="006E6B87" w:rsidP="00B9615B">
      <w:pPr>
        <w:pStyle w:val="Heading1"/>
        <w:rPr>
          <w:sz w:val="32"/>
          <w:szCs w:val="32"/>
        </w:rPr>
      </w:pPr>
      <w:r>
        <w:rPr>
          <w:sz w:val="32"/>
          <w:szCs w:val="32"/>
        </w:rPr>
        <w:t xml:space="preserve">TAN15 Chapter </w:t>
      </w:r>
      <w:r w:rsidR="00B9615B" w:rsidRPr="00B9615B">
        <w:rPr>
          <w:sz w:val="32"/>
          <w:szCs w:val="32"/>
        </w:rPr>
        <w:t xml:space="preserve">6. </w:t>
      </w:r>
      <w:r w:rsidR="002101EC" w:rsidRPr="00B9615B">
        <w:rPr>
          <w:sz w:val="32"/>
          <w:szCs w:val="32"/>
        </w:rPr>
        <w:t xml:space="preserve">Flood </w:t>
      </w:r>
      <w:r w:rsidR="00B9615B" w:rsidRPr="00B9615B">
        <w:rPr>
          <w:sz w:val="32"/>
          <w:szCs w:val="32"/>
        </w:rPr>
        <w:t>Consequence</w:t>
      </w:r>
      <w:r w:rsidR="002101EC" w:rsidRPr="00B9615B">
        <w:rPr>
          <w:sz w:val="32"/>
          <w:szCs w:val="32"/>
        </w:rPr>
        <w:t xml:space="preserve"> Assessment</w:t>
      </w:r>
    </w:p>
    <w:p w14:paraId="584B1485" w14:textId="77777777" w:rsidR="009202A4" w:rsidRDefault="00154FB7" w:rsidP="009202A4">
      <w:pPr>
        <w:pStyle w:val="Heading2"/>
        <w:rPr>
          <w:b/>
          <w:bCs/>
        </w:rPr>
      </w:pPr>
      <w:r w:rsidRPr="009202A4">
        <w:rPr>
          <w:rStyle w:val="Heading2Char"/>
        </w:rPr>
        <w:t xml:space="preserve">Paragraph </w:t>
      </w:r>
      <w:r w:rsidR="00B11BD3" w:rsidRPr="009202A4">
        <w:rPr>
          <w:rStyle w:val="Heading2Char"/>
        </w:rPr>
        <w:t>6.1</w:t>
      </w:r>
      <w:r w:rsidR="007112AF" w:rsidRPr="008C52F3">
        <w:rPr>
          <w:b/>
          <w:bCs/>
        </w:rPr>
        <w:t xml:space="preserve"> </w:t>
      </w:r>
    </w:p>
    <w:p w14:paraId="35D8020A" w14:textId="46C03F59" w:rsidR="008C52F3" w:rsidRDefault="007904FC" w:rsidP="00B11BD3">
      <w:r>
        <w:t xml:space="preserve">- </w:t>
      </w:r>
      <w:r w:rsidR="005A6E8C">
        <w:t xml:space="preserve">Reference to </w:t>
      </w:r>
      <w:r w:rsidR="00F03BB2">
        <w:t xml:space="preserve">Flood Zones 2 and 3 in this paragraph has implications for </w:t>
      </w:r>
      <w:r w:rsidR="00702987">
        <w:t xml:space="preserve">certain policies in the Deposit Revised LDP, </w:t>
      </w:r>
      <w:r w:rsidR="00CB061D">
        <w:t>which refer to</w:t>
      </w:r>
      <w:r w:rsidR="00702987">
        <w:t xml:space="preserve"> the former </w:t>
      </w:r>
      <w:r w:rsidR="00A158F5">
        <w:t xml:space="preserve">DAMS </w:t>
      </w:r>
      <w:r w:rsidR="00702987">
        <w:t>zones C1 and C2</w:t>
      </w:r>
      <w:r w:rsidR="00A158F5">
        <w:t>.</w:t>
      </w:r>
      <w:r w:rsidR="002E5B58">
        <w:t xml:space="preserve">  Two such policies are:</w:t>
      </w:r>
    </w:p>
    <w:p w14:paraId="42E82AC6" w14:textId="24267A64" w:rsidR="001D1574" w:rsidRDefault="001D1574" w:rsidP="00D82EA1">
      <w:pPr>
        <w:pStyle w:val="ListParagraph"/>
        <w:numPr>
          <w:ilvl w:val="0"/>
          <w:numId w:val="2"/>
        </w:numPr>
      </w:pPr>
      <w:r>
        <w:t>Policy CCH5</w:t>
      </w:r>
      <w:r w:rsidR="0031353D">
        <w:t xml:space="preserve"> Flood Risk Management and Avoidance (and supporting paragraphs</w:t>
      </w:r>
      <w:r w:rsidR="00D82EA1">
        <w:t xml:space="preserve"> 11.525 and 11.526)</w:t>
      </w:r>
    </w:p>
    <w:p w14:paraId="18F710C7" w14:textId="7706B8A7" w:rsidR="00D82EA1" w:rsidRDefault="00D82EA1" w:rsidP="00D82EA1">
      <w:pPr>
        <w:pStyle w:val="ListParagraph"/>
        <w:numPr>
          <w:ilvl w:val="0"/>
          <w:numId w:val="2"/>
        </w:numPr>
      </w:pPr>
      <w:r>
        <w:t>SP16 Climate Change</w:t>
      </w:r>
    </w:p>
    <w:p w14:paraId="0D55E3C8" w14:textId="77777777" w:rsidR="00AE592B" w:rsidRPr="00AE592B" w:rsidRDefault="00AE592B" w:rsidP="00AE592B">
      <w:pPr>
        <w:rPr>
          <w:b/>
          <w:bCs/>
          <w:i/>
          <w:iCs/>
        </w:rPr>
      </w:pPr>
      <w:r w:rsidRPr="00AE592B">
        <w:rPr>
          <w:b/>
          <w:bCs/>
          <w:i/>
          <w:iCs/>
        </w:rPr>
        <w:t>How these implications will be addressed:</w:t>
      </w:r>
    </w:p>
    <w:p w14:paraId="4E2BDFCD" w14:textId="0F3D7672" w:rsidR="008C52F3" w:rsidRPr="0078750A" w:rsidRDefault="5763E312" w:rsidP="00B11BD3">
      <w:r>
        <w:t>R</w:t>
      </w:r>
      <w:r w:rsidR="00061E50">
        <w:t xml:space="preserve">eference </w:t>
      </w:r>
      <w:r w:rsidR="002846F0">
        <w:t>in policies and or supporting text</w:t>
      </w:r>
      <w:r w:rsidR="00370EBA">
        <w:t xml:space="preserve"> </w:t>
      </w:r>
      <w:r w:rsidR="00061E50">
        <w:t>to the former DAMS</w:t>
      </w:r>
      <w:r w:rsidR="001B3BF9">
        <w:t xml:space="preserve"> zones will be amended to reference the </w:t>
      </w:r>
      <w:r w:rsidR="00E761EF">
        <w:t>flood zones set out in the Revised TAN</w:t>
      </w:r>
      <w:r w:rsidR="00370EBA">
        <w:t>.</w:t>
      </w:r>
    </w:p>
    <w:p w14:paraId="39CF965D" w14:textId="1423267E" w:rsidR="00B11BD3" w:rsidRPr="0078750A" w:rsidRDefault="00A35241" w:rsidP="00B11BD3">
      <w:r w:rsidRPr="0078750A">
        <w:t>Also a</w:t>
      </w:r>
      <w:r w:rsidR="349CC916" w:rsidRPr="0078750A">
        <w:t xml:space="preserve">dd </w:t>
      </w:r>
      <w:r w:rsidRPr="0078750A">
        <w:t>an</w:t>
      </w:r>
      <w:r w:rsidR="349CC916" w:rsidRPr="0078750A">
        <w:t xml:space="preserve"> explanation </w:t>
      </w:r>
      <w:r w:rsidR="00A1015B" w:rsidRPr="0078750A">
        <w:t>of the new</w:t>
      </w:r>
      <w:r w:rsidR="0078750A" w:rsidRPr="0078750A">
        <w:t xml:space="preserve"> zones</w:t>
      </w:r>
      <w:r w:rsidR="349CC916" w:rsidRPr="0078750A">
        <w:t xml:space="preserve"> set out in TAN15 in the reasoned justification</w:t>
      </w:r>
      <w:r w:rsidR="0078750A" w:rsidRPr="0078750A">
        <w:t xml:space="preserve"> of Policy CCH5 Flood Risk Management and Avoidance</w:t>
      </w:r>
      <w:r w:rsidR="6B57974A">
        <w:t>.</w:t>
      </w:r>
    </w:p>
    <w:p w14:paraId="0B9197F2" w14:textId="77777777" w:rsidR="00080956" w:rsidRDefault="00080956" w:rsidP="007F79BA"/>
    <w:p w14:paraId="4AE6803C" w14:textId="48A56146" w:rsidR="00971830" w:rsidRPr="00116238" w:rsidRDefault="00116238" w:rsidP="007F79BA">
      <w:r>
        <w:t xml:space="preserve">In addition, </w:t>
      </w:r>
      <w:r w:rsidRPr="001A69DF">
        <w:rPr>
          <w:b/>
          <w:bCs/>
        </w:rPr>
        <w:t>Paragraph 6.1</w:t>
      </w:r>
      <w:r w:rsidR="001A69DF">
        <w:t xml:space="preserve"> also requires the following:</w:t>
      </w:r>
    </w:p>
    <w:p w14:paraId="4BC75452" w14:textId="4175DECB" w:rsidR="00971830" w:rsidRPr="00971830" w:rsidRDefault="00971830" w:rsidP="00971830">
      <w:pPr>
        <w:rPr>
          <w:i/>
          <w:iCs/>
        </w:rPr>
      </w:pPr>
      <w:r w:rsidRPr="00971830">
        <w:rPr>
          <w:i/>
          <w:iCs/>
        </w:rPr>
        <w:t xml:space="preserve">“An assessment should also be undertaken for development on sites outside of these zones, but which has the potential to affect the course of surface water and/or excess water from ordinary watercourses. Planning authorities may provide specific local advice on this issue in Development Plans. </w:t>
      </w:r>
      <w:proofErr w:type="gramStart"/>
      <w:r w:rsidRPr="00971830">
        <w:rPr>
          <w:i/>
          <w:iCs/>
        </w:rPr>
        <w:t>“</w:t>
      </w:r>
      <w:r w:rsidR="00006EC5">
        <w:rPr>
          <w:i/>
          <w:iCs/>
        </w:rPr>
        <w:t xml:space="preserve"> and</w:t>
      </w:r>
      <w:proofErr w:type="gramEnd"/>
    </w:p>
    <w:p w14:paraId="23CD7C54" w14:textId="4E400339" w:rsidR="007F79BA" w:rsidRDefault="007F79BA" w:rsidP="007F79BA">
      <w:r>
        <w:rPr>
          <w:i/>
          <w:iCs/>
        </w:rPr>
        <w:lastRenderedPageBreak/>
        <w:t>“</w:t>
      </w:r>
      <w:r w:rsidRPr="007F79BA">
        <w:rPr>
          <w:i/>
          <w:iCs/>
        </w:rPr>
        <w:t xml:space="preserve">Planning authorities should ensure any new development adjacent to Flood Zones 2 and 3 for Surface Water and Small Watercourses is appropriately set back to allow for extreme flood events. </w:t>
      </w:r>
    </w:p>
    <w:p w14:paraId="10634293" w14:textId="77777777" w:rsidR="00424B4B" w:rsidRPr="007F79BA" w:rsidRDefault="00424B4B" w:rsidP="007F79BA"/>
    <w:p w14:paraId="5E556308" w14:textId="77777777" w:rsidR="00080956" w:rsidRPr="00AE592B" w:rsidRDefault="00080956" w:rsidP="00080956">
      <w:pPr>
        <w:rPr>
          <w:b/>
          <w:bCs/>
          <w:i/>
          <w:iCs/>
        </w:rPr>
      </w:pPr>
      <w:r w:rsidRPr="00AE592B">
        <w:rPr>
          <w:b/>
          <w:bCs/>
          <w:i/>
          <w:iCs/>
        </w:rPr>
        <w:t>How these implications will be addressed:</w:t>
      </w:r>
    </w:p>
    <w:p w14:paraId="5A955074" w14:textId="72F77E5D" w:rsidR="009202A4" w:rsidRDefault="00173218" w:rsidP="00FA4FFE">
      <w:pPr>
        <w:pBdr>
          <w:bottom w:val="single" w:sz="12" w:space="1" w:color="auto"/>
        </w:pBdr>
      </w:pPr>
      <w:r>
        <w:t xml:space="preserve">The above requirements will be </w:t>
      </w:r>
      <w:r w:rsidR="006F4B28">
        <w:t xml:space="preserve">added to </w:t>
      </w:r>
      <w:r w:rsidR="00C018A1">
        <w:t xml:space="preserve">the </w:t>
      </w:r>
      <w:r w:rsidR="00772694">
        <w:t>reasoned justification</w:t>
      </w:r>
      <w:r w:rsidR="00C018A1">
        <w:t xml:space="preserve"> of </w:t>
      </w:r>
      <w:r w:rsidR="006F4B28">
        <w:t>Policy CCH5 Flood Risk Management and Avoidance</w:t>
      </w:r>
      <w:r w:rsidR="00772694">
        <w:t>.</w:t>
      </w:r>
    </w:p>
    <w:p w14:paraId="58556648" w14:textId="77777777" w:rsidR="008224B9" w:rsidRDefault="008224B9" w:rsidP="00FA4FFE">
      <w:pPr>
        <w:pBdr>
          <w:bottom w:val="single" w:sz="12" w:space="1" w:color="auto"/>
        </w:pBdr>
      </w:pPr>
    </w:p>
    <w:p w14:paraId="21223925" w14:textId="2CE3E47D" w:rsidR="00B9615B" w:rsidRPr="00764A97" w:rsidRDefault="006E6B87" w:rsidP="00764A97">
      <w:pPr>
        <w:pStyle w:val="Heading1"/>
        <w:rPr>
          <w:sz w:val="28"/>
          <w:szCs w:val="28"/>
        </w:rPr>
      </w:pPr>
      <w:r>
        <w:rPr>
          <w:sz w:val="28"/>
          <w:szCs w:val="28"/>
        </w:rPr>
        <w:t xml:space="preserve">TAN15 Chapter </w:t>
      </w:r>
      <w:r w:rsidR="00B9615B" w:rsidRPr="00764A97">
        <w:rPr>
          <w:sz w:val="28"/>
          <w:szCs w:val="28"/>
        </w:rPr>
        <w:t>7. Sustainable Drainage</w:t>
      </w:r>
    </w:p>
    <w:p w14:paraId="15D2E4CE" w14:textId="6FAB7E89" w:rsidR="009202A4" w:rsidRDefault="00426333" w:rsidP="009202A4">
      <w:pPr>
        <w:pStyle w:val="Heading2"/>
      </w:pPr>
      <w:r w:rsidRPr="00A774EB">
        <w:t xml:space="preserve">Paragraph </w:t>
      </w:r>
      <w:r w:rsidR="00B11BD3" w:rsidRPr="00A774EB">
        <w:t>7</w:t>
      </w:r>
      <w:r w:rsidR="00B71B6E" w:rsidRPr="00A774EB">
        <w:t>.6</w:t>
      </w:r>
      <w:r w:rsidR="00B71B6E">
        <w:t xml:space="preserve"> </w:t>
      </w:r>
    </w:p>
    <w:p w14:paraId="49776AF9" w14:textId="39087DE7" w:rsidR="00267298" w:rsidRPr="005B34E3" w:rsidRDefault="00426333" w:rsidP="00B11BD3">
      <w:pPr>
        <w:rPr>
          <w:i/>
          <w:iCs/>
        </w:rPr>
      </w:pPr>
      <w:r>
        <w:t xml:space="preserve"> </w:t>
      </w:r>
      <w:r w:rsidR="00267298" w:rsidRPr="005B34E3">
        <w:rPr>
          <w:i/>
          <w:iCs/>
        </w:rPr>
        <w:t>‘Where planning permission is sought prior to SAB approval, the applicant will be expected to provide a Drainage Statement as part of the planning application.</w:t>
      </w:r>
      <w:r w:rsidR="005B34E3">
        <w:rPr>
          <w:i/>
          <w:iCs/>
        </w:rPr>
        <w:t>’</w:t>
      </w:r>
    </w:p>
    <w:p w14:paraId="1E756059" w14:textId="77777777" w:rsidR="00896993" w:rsidRPr="0046158A" w:rsidRDefault="00896993" w:rsidP="003F259F"/>
    <w:p w14:paraId="0DDE0ABF" w14:textId="0BDFA97A" w:rsidR="003F259F" w:rsidRPr="00AE592B" w:rsidRDefault="003F259F" w:rsidP="003F259F">
      <w:pPr>
        <w:rPr>
          <w:b/>
          <w:bCs/>
          <w:i/>
          <w:iCs/>
        </w:rPr>
      </w:pPr>
      <w:r w:rsidRPr="00AE592B">
        <w:rPr>
          <w:b/>
          <w:bCs/>
          <w:i/>
          <w:iCs/>
        </w:rPr>
        <w:t>How these implications will be addressed:</w:t>
      </w:r>
    </w:p>
    <w:p w14:paraId="40373F47" w14:textId="590073FD" w:rsidR="00853127" w:rsidRDefault="00B11BD3" w:rsidP="005D4542">
      <w:pPr>
        <w:pBdr>
          <w:bottom w:val="single" w:sz="12" w:space="1" w:color="auto"/>
        </w:pBdr>
        <w:spacing w:after="0" w:line="240" w:lineRule="auto"/>
      </w:pPr>
      <w:r w:rsidRPr="00C0061B">
        <w:rPr>
          <w:b/>
          <w:bCs/>
        </w:rPr>
        <w:t>Policy CCH4: Water Quality and Protection of Water Resources</w:t>
      </w:r>
      <w:r w:rsidRPr="00B11BD3">
        <w:t xml:space="preserve"> </w:t>
      </w:r>
      <w:r w:rsidR="00157B2D">
        <w:t>c</w:t>
      </w:r>
      <w:r w:rsidRPr="00B11BD3">
        <w:t xml:space="preserve">ould </w:t>
      </w:r>
      <w:r w:rsidR="00157B2D">
        <w:t xml:space="preserve">be amended to </w:t>
      </w:r>
      <w:proofErr w:type="gramStart"/>
      <w:r w:rsidR="0046158A" w:rsidRPr="00665313">
        <w:t xml:space="preserve">make </w:t>
      </w:r>
      <w:r w:rsidR="00853127" w:rsidRPr="00665313">
        <w:t>reference</w:t>
      </w:r>
      <w:proofErr w:type="gramEnd"/>
      <w:r w:rsidR="00853127" w:rsidRPr="00665313">
        <w:t xml:space="preserve"> </w:t>
      </w:r>
      <w:r w:rsidR="0046158A" w:rsidRPr="00665313">
        <w:t xml:space="preserve">to </w:t>
      </w:r>
      <w:r w:rsidR="00997E20">
        <w:t xml:space="preserve">the above requirement </w:t>
      </w:r>
      <w:r w:rsidR="00964E58">
        <w:t xml:space="preserve">that is </w:t>
      </w:r>
      <w:r w:rsidR="00997E20">
        <w:t xml:space="preserve">in </w:t>
      </w:r>
      <w:r w:rsidR="00853127" w:rsidRPr="00665313">
        <w:t>para</w:t>
      </w:r>
      <w:r w:rsidR="0046158A" w:rsidRPr="00665313">
        <w:t xml:space="preserve">graph </w:t>
      </w:r>
      <w:r w:rsidR="00853127" w:rsidRPr="00665313">
        <w:t xml:space="preserve">7.6 and Figure 3 in the </w:t>
      </w:r>
      <w:r w:rsidR="00896993" w:rsidRPr="00665313">
        <w:t xml:space="preserve">Revised </w:t>
      </w:r>
      <w:r w:rsidR="00853127" w:rsidRPr="00665313">
        <w:t>TAN.</w:t>
      </w:r>
    </w:p>
    <w:p w14:paraId="0B34DDC0" w14:textId="77777777" w:rsidR="00964E58" w:rsidRDefault="00964E58" w:rsidP="005D4542">
      <w:pPr>
        <w:pBdr>
          <w:bottom w:val="single" w:sz="12" w:space="1" w:color="auto"/>
        </w:pBdr>
        <w:spacing w:after="0" w:line="240" w:lineRule="auto"/>
      </w:pPr>
    </w:p>
    <w:p w14:paraId="57C7083E" w14:textId="1094D6C9" w:rsidR="00964E58" w:rsidRPr="00665313" w:rsidRDefault="00964E58" w:rsidP="08182BA5">
      <w:pPr>
        <w:pBdr>
          <w:bottom w:val="single" w:sz="12" w:space="1" w:color="auto"/>
        </w:pBdr>
      </w:pPr>
      <w:r>
        <w:t>The Council will be publishing additional guidance to support the int</w:t>
      </w:r>
      <w:r w:rsidR="00236611">
        <w:t>erpretation and the use of the TAN as part of the Development management process. Thia will include requirements in relation to the submission of drainage statements</w:t>
      </w:r>
      <w:r w:rsidR="643ED95E">
        <w:t>.</w:t>
      </w:r>
    </w:p>
    <w:p w14:paraId="62266805" w14:textId="77777777" w:rsidR="001F03AF" w:rsidRDefault="001F03AF" w:rsidP="2A0B93BE"/>
    <w:p w14:paraId="52F2A47F" w14:textId="77777777" w:rsidR="009202A4" w:rsidRDefault="008D733F" w:rsidP="009202A4">
      <w:pPr>
        <w:pStyle w:val="Heading2"/>
      </w:pPr>
      <w:r>
        <w:t xml:space="preserve">Paragraph </w:t>
      </w:r>
      <w:r w:rsidR="02E23D49" w:rsidRPr="008D733F">
        <w:t>7.11</w:t>
      </w:r>
    </w:p>
    <w:p w14:paraId="15FD4711" w14:textId="5AF06229" w:rsidR="00E25E4D" w:rsidRPr="002C4E48" w:rsidRDefault="02E23D49" w:rsidP="2A0B93BE">
      <w:pPr>
        <w:rPr>
          <w:i/>
          <w:iCs/>
        </w:rPr>
      </w:pPr>
      <w:r w:rsidRPr="6C504162">
        <w:t xml:space="preserve"> </w:t>
      </w:r>
      <w:r w:rsidRPr="03E202A9">
        <w:t xml:space="preserve"> </w:t>
      </w:r>
      <w:r w:rsidR="007054F9">
        <w:t>‘</w:t>
      </w:r>
      <w:r w:rsidR="00E25E4D" w:rsidRPr="00E25E4D">
        <w:rPr>
          <w:i/>
          <w:iCs/>
        </w:rPr>
        <w:t>Sustainable drainage systems (</w:t>
      </w:r>
      <w:proofErr w:type="spellStart"/>
      <w:r w:rsidR="00E25E4D" w:rsidRPr="00E25E4D">
        <w:rPr>
          <w:i/>
          <w:iCs/>
        </w:rPr>
        <w:t>SuDS</w:t>
      </w:r>
      <w:proofErr w:type="spellEnd"/>
      <w:r w:rsidR="00E25E4D" w:rsidRPr="00E25E4D">
        <w:rPr>
          <w:i/>
          <w:iCs/>
        </w:rPr>
        <w:t xml:space="preserve">) </w:t>
      </w:r>
      <w:r w:rsidR="007054F9">
        <w:rPr>
          <w:i/>
          <w:iCs/>
        </w:rPr>
        <w:t xml:space="preserve">… </w:t>
      </w:r>
      <w:r w:rsidR="00E25E4D" w:rsidRPr="00E25E4D">
        <w:rPr>
          <w:i/>
          <w:iCs/>
        </w:rPr>
        <w:t xml:space="preserve">Development Plans should promote the control of surface water as near to its source as possible for all developments. Along with other flooding considerations, drainage should be factored into the site selection process at the earliest opportunity, </w:t>
      </w:r>
      <w:r w:rsidR="00EA1B89">
        <w:rPr>
          <w:i/>
          <w:iCs/>
        </w:rPr>
        <w:t>…</w:t>
      </w:r>
      <w:r w:rsidR="00E25E4D" w:rsidRPr="00E25E4D">
        <w:rPr>
          <w:i/>
          <w:iCs/>
        </w:rPr>
        <w:t>Information held by the local authority that may assist developers in subsequent planning application submissions should be published in or alongside its Development Plan, potentially as supplementary planning guidance</w:t>
      </w:r>
    </w:p>
    <w:p w14:paraId="6FB89EA9" w14:textId="50BA4897" w:rsidR="00E25E4D" w:rsidRPr="00D52140" w:rsidRDefault="002C4E48" w:rsidP="2A0B93BE">
      <w:pPr>
        <w:rPr>
          <w:b/>
          <w:bCs/>
          <w:i/>
          <w:iCs/>
        </w:rPr>
      </w:pPr>
      <w:r w:rsidRPr="00AE592B">
        <w:rPr>
          <w:b/>
          <w:bCs/>
          <w:i/>
          <w:iCs/>
        </w:rPr>
        <w:t>How these implications will be addressed:</w:t>
      </w:r>
    </w:p>
    <w:p w14:paraId="2C37F7C5" w14:textId="60A73064" w:rsidR="02E23D49" w:rsidRDefault="7A8D9868" w:rsidP="39B524C6">
      <w:r>
        <w:t>Reference is made to the</w:t>
      </w:r>
      <w:r w:rsidR="071170B8">
        <w:t xml:space="preserve"> advanced stage of the plan</w:t>
      </w:r>
      <w:r w:rsidR="1F21EE8E">
        <w:t xml:space="preserve"> making process</w:t>
      </w:r>
      <w:r w:rsidR="301088C2">
        <w:t xml:space="preserve">. </w:t>
      </w:r>
      <w:r w:rsidR="071170B8">
        <w:t xml:space="preserve"> </w:t>
      </w:r>
      <w:r w:rsidR="727AED60">
        <w:t>H</w:t>
      </w:r>
      <w:r w:rsidR="00E06C8C">
        <w:t xml:space="preserve">owever, </w:t>
      </w:r>
      <w:r w:rsidR="17EECE52">
        <w:t>the plan makes</w:t>
      </w:r>
      <w:r w:rsidR="4B041469">
        <w:t xml:space="preserve"> adequate provision </w:t>
      </w:r>
      <w:r w:rsidR="22936F07">
        <w:t xml:space="preserve">through Policy SP12: Placemaking and Sustainable Places criteria d) and k) </w:t>
      </w:r>
      <w:r w:rsidR="4B041469">
        <w:t>in relation to proposals</w:t>
      </w:r>
      <w:r w:rsidR="00F773DE">
        <w:t xml:space="preserve"> being adaptable to climate change and managing water </w:t>
      </w:r>
      <w:r w:rsidR="00E06C8C">
        <w:t>sustainably</w:t>
      </w:r>
      <w:r w:rsidR="00CD5619">
        <w:t xml:space="preserve"> – principles which </w:t>
      </w:r>
      <w:r w:rsidR="00C446EC">
        <w:t>capture the ethos of paragraph 7.11</w:t>
      </w:r>
      <w:r w:rsidR="00E06C8C">
        <w:t xml:space="preserve">.  </w:t>
      </w:r>
      <w:r w:rsidR="5D3CCB92">
        <w:lastRenderedPageBreak/>
        <w:t>S</w:t>
      </w:r>
      <w:r w:rsidR="008242BA">
        <w:t xml:space="preserve">upplementary </w:t>
      </w:r>
      <w:r w:rsidR="5D3CCB92">
        <w:t>P</w:t>
      </w:r>
      <w:r w:rsidR="008242BA">
        <w:t xml:space="preserve">lanning </w:t>
      </w:r>
      <w:r w:rsidR="5D3CCB92">
        <w:t>G</w:t>
      </w:r>
      <w:r w:rsidR="008242BA">
        <w:t>uidance</w:t>
      </w:r>
      <w:r w:rsidR="586EFC46">
        <w:t xml:space="preserve"> is also being prepared which will consider any additional needs arising from the TAN</w:t>
      </w:r>
      <w:r w:rsidR="2CA26C5C">
        <w:t xml:space="preserve"> </w:t>
      </w:r>
      <w:r w:rsidR="6BBA5438">
        <w:t>where</w:t>
      </w:r>
      <w:r w:rsidR="2CA26C5C">
        <w:t xml:space="preserve"> not matters of policy.  This SPG</w:t>
      </w:r>
      <w:r w:rsidR="008242BA">
        <w:t xml:space="preserve"> will be </w:t>
      </w:r>
      <w:r w:rsidR="00607BA5">
        <w:t xml:space="preserve">published </w:t>
      </w:r>
      <w:r w:rsidR="0C2FAEC0">
        <w:t>concurrent with the adoption of the Revised LDP</w:t>
      </w:r>
      <w:r w:rsidR="5D3CCB92">
        <w:t>.</w:t>
      </w:r>
      <w:r w:rsidR="16017C52">
        <w:t xml:space="preserve">  </w:t>
      </w:r>
      <w:r w:rsidR="00607BA5">
        <w:t>As a g</w:t>
      </w:r>
      <w:r w:rsidR="5E393E2D">
        <w:t>eneral point</w:t>
      </w:r>
      <w:r w:rsidR="00607BA5">
        <w:t>,</w:t>
      </w:r>
      <w:r w:rsidR="000A0941">
        <w:t xml:space="preserve"> the</w:t>
      </w:r>
      <w:r w:rsidR="5E393E2D">
        <w:t xml:space="preserve"> </w:t>
      </w:r>
      <w:r w:rsidR="16017C52">
        <w:t xml:space="preserve">Infrastructure Paper </w:t>
      </w:r>
      <w:r w:rsidR="000A0941">
        <w:t xml:space="preserve">will </w:t>
      </w:r>
      <w:r w:rsidR="16017C52">
        <w:t xml:space="preserve">be updated to reflect any changes/updates </w:t>
      </w:r>
      <w:r w:rsidR="068EAA10">
        <w:t xml:space="preserve">as </w:t>
      </w:r>
      <w:r w:rsidR="16017C52">
        <w:t>required</w:t>
      </w:r>
      <w:r w:rsidR="136E9BCB">
        <w:t>.</w:t>
      </w:r>
    </w:p>
    <w:p w14:paraId="176C3D4E" w14:textId="1985C04D" w:rsidR="39B524C6" w:rsidRDefault="39B524C6" w:rsidP="39B524C6">
      <w:pPr>
        <w:pBdr>
          <w:bottom w:val="single" w:sz="12" w:space="1" w:color="auto"/>
        </w:pBdr>
      </w:pPr>
    </w:p>
    <w:p w14:paraId="4075EE32" w14:textId="45A2E903" w:rsidR="00812F7B" w:rsidRDefault="00CA3872" w:rsidP="00985440">
      <w:pPr>
        <w:pStyle w:val="Heading1"/>
        <w:spacing w:before="0" w:line="240" w:lineRule="auto"/>
        <w:rPr>
          <w:sz w:val="28"/>
          <w:szCs w:val="28"/>
        </w:rPr>
      </w:pPr>
      <w:r>
        <w:rPr>
          <w:sz w:val="28"/>
          <w:szCs w:val="28"/>
        </w:rPr>
        <w:t>TAN</w:t>
      </w:r>
      <w:proofErr w:type="gramStart"/>
      <w:r>
        <w:rPr>
          <w:sz w:val="28"/>
          <w:szCs w:val="28"/>
        </w:rPr>
        <w:t>15  Chapter</w:t>
      </w:r>
      <w:proofErr w:type="gramEnd"/>
      <w:r>
        <w:rPr>
          <w:sz w:val="28"/>
          <w:szCs w:val="28"/>
        </w:rPr>
        <w:t xml:space="preserve"> </w:t>
      </w:r>
      <w:r w:rsidR="00764A97">
        <w:rPr>
          <w:sz w:val="28"/>
          <w:szCs w:val="28"/>
        </w:rPr>
        <w:t xml:space="preserve">8. </w:t>
      </w:r>
      <w:r w:rsidR="00985440" w:rsidRPr="00985440">
        <w:rPr>
          <w:sz w:val="28"/>
          <w:szCs w:val="28"/>
        </w:rPr>
        <w:t>Principle of the TAN for development plan and development management purposes</w:t>
      </w:r>
    </w:p>
    <w:p w14:paraId="29C1D933" w14:textId="77777777" w:rsidR="00985440" w:rsidRPr="00985440" w:rsidRDefault="00985440" w:rsidP="00985440">
      <w:pPr>
        <w:spacing w:line="240" w:lineRule="auto"/>
      </w:pPr>
    </w:p>
    <w:p w14:paraId="00573300" w14:textId="57B41A15" w:rsidR="00E720D1" w:rsidRDefault="00FD1646" w:rsidP="00E720D1">
      <w:pPr>
        <w:pStyle w:val="Heading2"/>
      </w:pPr>
      <w:r w:rsidRPr="00C565CF">
        <w:t xml:space="preserve">Paragraph </w:t>
      </w:r>
      <w:r w:rsidR="136E9BCB" w:rsidRPr="00C565CF">
        <w:t>8.3</w:t>
      </w:r>
      <w:r w:rsidR="00D771D2">
        <w:t>, 8.4 and 8.5</w:t>
      </w:r>
      <w:r w:rsidR="136E9BCB" w:rsidRPr="2613934C">
        <w:t xml:space="preserve">  </w:t>
      </w:r>
    </w:p>
    <w:p w14:paraId="0E1D05FA" w14:textId="3F2E5580" w:rsidR="00390417" w:rsidRDefault="00D771D2" w:rsidP="5CA33E5A">
      <w:r>
        <w:t xml:space="preserve">8.3 </w:t>
      </w:r>
      <w:r w:rsidR="00390417">
        <w:t>‘</w:t>
      </w:r>
      <w:r w:rsidR="00390417" w:rsidRPr="00390417">
        <w:rPr>
          <w:i/>
          <w:iCs/>
        </w:rPr>
        <w:t>Throughout this TAN there are references to new development and redevelopment which is defined below.</w:t>
      </w:r>
      <w:r w:rsidR="00390417">
        <w:t>’</w:t>
      </w:r>
    </w:p>
    <w:tbl>
      <w:tblPr>
        <w:tblStyle w:val="TableGrid"/>
        <w:tblW w:w="0" w:type="auto"/>
        <w:tblLook w:val="04A0" w:firstRow="1" w:lastRow="0" w:firstColumn="1" w:lastColumn="0" w:noHBand="0" w:noVBand="1"/>
      </w:tblPr>
      <w:tblGrid>
        <w:gridCol w:w="4508"/>
        <w:gridCol w:w="4508"/>
      </w:tblGrid>
      <w:tr w:rsidR="00390417" w14:paraId="7989B868" w14:textId="77777777" w:rsidTr="00390417">
        <w:tc>
          <w:tcPr>
            <w:tcW w:w="4508" w:type="dxa"/>
          </w:tcPr>
          <w:p w14:paraId="709FFAB5" w14:textId="1C1A4159" w:rsidR="00390417" w:rsidRDefault="001C0395" w:rsidP="5CA33E5A">
            <w:r>
              <w:t>New Development</w:t>
            </w:r>
          </w:p>
        </w:tc>
        <w:tc>
          <w:tcPr>
            <w:tcW w:w="4508" w:type="dxa"/>
          </w:tcPr>
          <w:p w14:paraId="153A0B4F" w14:textId="77777777" w:rsidR="00390417" w:rsidRDefault="009A3925" w:rsidP="5CA33E5A">
            <w:r>
              <w:t>Any development on greenfield land</w:t>
            </w:r>
          </w:p>
          <w:p w14:paraId="4461DDE0" w14:textId="421B9892" w:rsidR="009A3925" w:rsidRDefault="009A3925" w:rsidP="5CA33E5A"/>
        </w:tc>
      </w:tr>
      <w:tr w:rsidR="00390417" w14:paraId="20B503C6" w14:textId="77777777" w:rsidTr="00390417">
        <w:tc>
          <w:tcPr>
            <w:tcW w:w="4508" w:type="dxa"/>
          </w:tcPr>
          <w:p w14:paraId="33746C69" w14:textId="0534AE07" w:rsidR="00390417" w:rsidRDefault="001C0395" w:rsidP="5CA33E5A">
            <w:r>
              <w:t>Redevelopment</w:t>
            </w:r>
          </w:p>
        </w:tc>
        <w:tc>
          <w:tcPr>
            <w:tcW w:w="4508" w:type="dxa"/>
          </w:tcPr>
          <w:p w14:paraId="146FD116" w14:textId="63866FE0" w:rsidR="00390417" w:rsidRDefault="009A3925" w:rsidP="5CA33E5A">
            <w:r>
              <w:t>Any development on previously developed land as defined in Planning Policy Wales</w:t>
            </w:r>
          </w:p>
        </w:tc>
      </w:tr>
    </w:tbl>
    <w:p w14:paraId="2DDEA390" w14:textId="77777777" w:rsidR="00390417" w:rsidRDefault="00390417" w:rsidP="5CA33E5A"/>
    <w:p w14:paraId="10F6C763" w14:textId="4F130C09" w:rsidR="00390417" w:rsidRDefault="008668D1" w:rsidP="5CA33E5A">
      <w:r>
        <w:rPr>
          <w:b/>
          <w:bCs/>
        </w:rPr>
        <w:t>8.4</w:t>
      </w:r>
      <w:r>
        <w:t xml:space="preserve"> ‘</w:t>
      </w:r>
      <w:r w:rsidR="003E6FE0" w:rsidRPr="003E6FE0">
        <w:rPr>
          <w:i/>
          <w:iCs/>
        </w:rPr>
        <w:t>PPW generally gives preference to the reuse of previously developed land before greenfield land but does recognise that this may not be appropriate in all cases. The TAN does not change this preference’</w:t>
      </w:r>
    </w:p>
    <w:p w14:paraId="5FB90CAC" w14:textId="63DCD00E" w:rsidR="00A4424F" w:rsidRPr="00745687" w:rsidRDefault="008668D1" w:rsidP="00C97F01">
      <w:pPr>
        <w:rPr>
          <w:i/>
          <w:iCs/>
        </w:rPr>
      </w:pPr>
      <w:r w:rsidRPr="00C565CF">
        <w:rPr>
          <w:b/>
          <w:bCs/>
        </w:rPr>
        <w:t>P8.5</w:t>
      </w:r>
      <w:r w:rsidRPr="00745687">
        <w:rPr>
          <w:i/>
          <w:iCs/>
        </w:rPr>
        <w:t xml:space="preserve"> The</w:t>
      </w:r>
      <w:r w:rsidR="00A4424F" w:rsidRPr="00745687">
        <w:rPr>
          <w:i/>
          <w:iCs/>
        </w:rPr>
        <w:t xml:space="preserve"> approach set out in this TAN is based on: </w:t>
      </w:r>
    </w:p>
    <w:p w14:paraId="6EEDC37A" w14:textId="77777777" w:rsidR="00A4424F" w:rsidRPr="00745687" w:rsidRDefault="00A4424F" w:rsidP="00C97F01">
      <w:pPr>
        <w:rPr>
          <w:i/>
          <w:iCs/>
        </w:rPr>
      </w:pPr>
      <w:r w:rsidRPr="00745687">
        <w:rPr>
          <w:i/>
          <w:iCs/>
        </w:rPr>
        <w:t xml:space="preserve">• A Flood Map for Planning identifying flood </w:t>
      </w:r>
      <w:proofErr w:type="gramStart"/>
      <w:r w:rsidRPr="00745687">
        <w:rPr>
          <w:i/>
          <w:iCs/>
        </w:rPr>
        <w:t>zones;</w:t>
      </w:r>
      <w:proofErr w:type="gramEnd"/>
      <w:r w:rsidRPr="00745687">
        <w:rPr>
          <w:i/>
          <w:iCs/>
        </w:rPr>
        <w:t xml:space="preserve"> </w:t>
      </w:r>
    </w:p>
    <w:p w14:paraId="35581185" w14:textId="13811B6F" w:rsidR="00A4424F" w:rsidRPr="00745687" w:rsidRDefault="00A4424F" w:rsidP="00C97F01">
      <w:pPr>
        <w:rPr>
          <w:i/>
          <w:iCs/>
        </w:rPr>
      </w:pPr>
      <w:r w:rsidRPr="00745687">
        <w:rPr>
          <w:i/>
          <w:iCs/>
        </w:rPr>
        <w:t xml:space="preserve">• Defining developments by their vulnerability during flood </w:t>
      </w:r>
      <w:proofErr w:type="gramStart"/>
      <w:r w:rsidRPr="00745687">
        <w:rPr>
          <w:i/>
          <w:iCs/>
        </w:rPr>
        <w:t>events;</w:t>
      </w:r>
      <w:proofErr w:type="gramEnd"/>
      <w:r w:rsidRPr="00745687">
        <w:rPr>
          <w:i/>
          <w:iCs/>
        </w:rPr>
        <w:t xml:space="preserve"> </w:t>
      </w:r>
    </w:p>
    <w:p w14:paraId="6652D440" w14:textId="77777777" w:rsidR="00A4424F" w:rsidRPr="00745687" w:rsidRDefault="00A4424F" w:rsidP="00C97F01">
      <w:pPr>
        <w:rPr>
          <w:i/>
          <w:iCs/>
        </w:rPr>
      </w:pPr>
      <w:r w:rsidRPr="00745687">
        <w:rPr>
          <w:i/>
          <w:iCs/>
        </w:rPr>
        <w:t xml:space="preserve">• Advice on permissible uses in relation to the location of development and the consequences of </w:t>
      </w:r>
      <w:proofErr w:type="gramStart"/>
      <w:r w:rsidRPr="00745687">
        <w:rPr>
          <w:i/>
          <w:iCs/>
        </w:rPr>
        <w:t>flooding;</w:t>
      </w:r>
      <w:proofErr w:type="gramEnd"/>
      <w:r w:rsidRPr="00745687">
        <w:rPr>
          <w:i/>
          <w:iCs/>
        </w:rPr>
        <w:t xml:space="preserve"> </w:t>
      </w:r>
    </w:p>
    <w:p w14:paraId="711C5E6E" w14:textId="77777777" w:rsidR="00A4424F" w:rsidRPr="00745687" w:rsidRDefault="00A4424F" w:rsidP="00C97F01">
      <w:pPr>
        <w:rPr>
          <w:i/>
          <w:iCs/>
        </w:rPr>
      </w:pPr>
      <w:r w:rsidRPr="00745687">
        <w:rPr>
          <w:i/>
          <w:iCs/>
        </w:rPr>
        <w:t xml:space="preserve">• The preparation of strategic flood consequences and flood consequences assessments at the local level to refine understanding of flood </w:t>
      </w:r>
      <w:proofErr w:type="gramStart"/>
      <w:r w:rsidRPr="00745687">
        <w:rPr>
          <w:i/>
          <w:iCs/>
        </w:rPr>
        <w:t>risk;</w:t>
      </w:r>
      <w:proofErr w:type="gramEnd"/>
      <w:r w:rsidRPr="00745687">
        <w:rPr>
          <w:i/>
          <w:iCs/>
        </w:rPr>
        <w:t xml:space="preserve"> </w:t>
      </w:r>
    </w:p>
    <w:p w14:paraId="2CE0C8F1" w14:textId="12A578EA" w:rsidR="00762962" w:rsidRPr="00745687" w:rsidRDefault="00A4424F" w:rsidP="00C97F01">
      <w:pPr>
        <w:rPr>
          <w:i/>
          <w:iCs/>
        </w:rPr>
      </w:pPr>
      <w:r w:rsidRPr="00745687">
        <w:rPr>
          <w:i/>
          <w:iCs/>
        </w:rPr>
        <w:t>• Planning authorities incorporating local flood risk considerations into their planning policies and decisions.</w:t>
      </w:r>
    </w:p>
    <w:p w14:paraId="52FEFA1A" w14:textId="77777777" w:rsidR="00762962" w:rsidRPr="00A4424F" w:rsidRDefault="00762962" w:rsidP="00C97F01"/>
    <w:p w14:paraId="56674521" w14:textId="05742012" w:rsidR="00C97F01" w:rsidRPr="00AE592B" w:rsidRDefault="00C97F01" w:rsidP="00C97F01">
      <w:pPr>
        <w:rPr>
          <w:b/>
          <w:bCs/>
          <w:i/>
          <w:iCs/>
        </w:rPr>
      </w:pPr>
      <w:r w:rsidRPr="00AE592B">
        <w:rPr>
          <w:b/>
          <w:bCs/>
          <w:i/>
          <w:iCs/>
        </w:rPr>
        <w:t>How these implications will be addressed:</w:t>
      </w:r>
    </w:p>
    <w:p w14:paraId="3E38CB18" w14:textId="06EAAF2C" w:rsidR="5CA33E5A" w:rsidRDefault="00832B27" w:rsidP="5CA33E5A">
      <w:r>
        <w:t xml:space="preserve">Matters Arising Change </w:t>
      </w:r>
      <w:r w:rsidR="000974EB">
        <w:t>–</w:t>
      </w:r>
      <w:r>
        <w:t xml:space="preserve"> </w:t>
      </w:r>
      <w:r w:rsidR="000974EB">
        <w:t xml:space="preserve">In respect of </w:t>
      </w:r>
      <w:r w:rsidR="00481B37">
        <w:t>8.3 and 8.4, r</w:t>
      </w:r>
      <w:r w:rsidR="136E9BCB" w:rsidRPr="2613934C">
        <w:t xml:space="preserve">eference </w:t>
      </w:r>
      <w:r w:rsidR="00C97F01">
        <w:t xml:space="preserve">will be made </w:t>
      </w:r>
      <w:r w:rsidR="136E9BCB" w:rsidRPr="2613934C">
        <w:t xml:space="preserve">to </w:t>
      </w:r>
      <w:r w:rsidR="0052517F">
        <w:t>the TAN in respect of the above definitions and preference</w:t>
      </w:r>
      <w:r w:rsidR="00180138">
        <w:t>s</w:t>
      </w:r>
      <w:r w:rsidR="00481B37">
        <w:t>.</w:t>
      </w:r>
    </w:p>
    <w:p w14:paraId="0E5D81B3" w14:textId="66746F27" w:rsidR="00481B37" w:rsidRDefault="00481B37" w:rsidP="5CA33E5A">
      <w:pPr>
        <w:pBdr>
          <w:bottom w:val="single" w:sz="12" w:space="1" w:color="auto"/>
        </w:pBdr>
      </w:pPr>
      <w:proofErr w:type="gramStart"/>
      <w:r>
        <w:lastRenderedPageBreak/>
        <w:t>In regard to</w:t>
      </w:r>
      <w:proofErr w:type="gramEnd"/>
      <w:r>
        <w:t xml:space="preserve"> </w:t>
      </w:r>
      <w:r w:rsidR="00C565CF">
        <w:t xml:space="preserve">paragraph </w:t>
      </w:r>
      <w:r>
        <w:t>8.5</w:t>
      </w:r>
      <w:r w:rsidR="005D639D">
        <w:t xml:space="preserve">, we will review the relevant policies in the Plan to be </w:t>
      </w:r>
      <w:r w:rsidR="00A26093">
        <w:t>satisfied that we have addressed all the bullet points.</w:t>
      </w:r>
    </w:p>
    <w:p w14:paraId="0BD49B52" w14:textId="77777777" w:rsidR="00FE3724" w:rsidRDefault="00FE3724" w:rsidP="5CA33E5A">
      <w:pPr>
        <w:pBdr>
          <w:bottom w:val="single" w:sz="12" w:space="1" w:color="auto"/>
        </w:pBdr>
      </w:pPr>
    </w:p>
    <w:p w14:paraId="71EB20E0" w14:textId="11402424" w:rsidR="00FE3724" w:rsidRPr="00764A97" w:rsidRDefault="00CA3872" w:rsidP="00764A97">
      <w:pPr>
        <w:pStyle w:val="Heading1"/>
        <w:rPr>
          <w:sz w:val="28"/>
          <w:szCs w:val="28"/>
        </w:rPr>
      </w:pPr>
      <w:r>
        <w:rPr>
          <w:sz w:val="28"/>
          <w:szCs w:val="28"/>
        </w:rPr>
        <w:t xml:space="preserve">TAN15 Chapter </w:t>
      </w:r>
      <w:r w:rsidR="00764A97">
        <w:rPr>
          <w:sz w:val="28"/>
          <w:szCs w:val="28"/>
        </w:rPr>
        <w:t xml:space="preserve">10. </w:t>
      </w:r>
      <w:r w:rsidR="00764A97" w:rsidRPr="00764A97">
        <w:rPr>
          <w:sz w:val="28"/>
          <w:szCs w:val="28"/>
        </w:rPr>
        <w:t>Flooding and the plan-led system</w:t>
      </w:r>
    </w:p>
    <w:p w14:paraId="2373E42B" w14:textId="77777777" w:rsidR="008668D1" w:rsidRDefault="00FD1646" w:rsidP="008668D1">
      <w:pPr>
        <w:pStyle w:val="Heading2"/>
      </w:pPr>
      <w:r w:rsidRPr="00FD1646">
        <w:t xml:space="preserve">Paragraph </w:t>
      </w:r>
      <w:r w:rsidR="00B11BD3" w:rsidRPr="00FD1646">
        <w:t>10.5</w:t>
      </w:r>
    </w:p>
    <w:p w14:paraId="6FDDBDFD" w14:textId="4A22A243" w:rsidR="00B11BD3" w:rsidRPr="00683A7B" w:rsidRDefault="00B11BD3" w:rsidP="00B11BD3">
      <w:r w:rsidRPr="00B11BD3">
        <w:t>‘</w:t>
      </w:r>
      <w:r w:rsidRPr="00CB6A76">
        <w:rPr>
          <w:i/>
          <w:iCs/>
        </w:rPr>
        <w:t>Where it is clear that the strategy of an LDP is affected by flood risk then the plan must contain appropriate measures to mitigate and defend areas at highest risk informed by the Strategic Flood Consequences Assessment</w:t>
      </w:r>
      <w:r w:rsidRPr="00683A7B">
        <w:t xml:space="preserve">’ …and </w:t>
      </w:r>
      <w:r w:rsidR="00CB6A76">
        <w:t>‘</w:t>
      </w:r>
      <w:r w:rsidRPr="00B5489D">
        <w:rPr>
          <w:i/>
          <w:iCs/>
        </w:rPr>
        <w:t>Any LDP that includes policies or proposals affected by flood risk as set out in the Flood Map for Planning must be supported by an Infrastructure Plan which incorporates appropriate flood mitigation measures</w:t>
      </w:r>
      <w:r w:rsidR="00B5489D">
        <w:t>’</w:t>
      </w:r>
    </w:p>
    <w:p w14:paraId="5C0750EB" w14:textId="0D913193" w:rsidR="009E4139" w:rsidRPr="00190FDC" w:rsidRDefault="009E4139" w:rsidP="399D01E0">
      <w:pPr>
        <w:rPr>
          <w:b/>
          <w:bCs/>
          <w:i/>
          <w:iCs/>
        </w:rPr>
      </w:pPr>
      <w:r w:rsidRPr="00AE592B">
        <w:rPr>
          <w:b/>
          <w:bCs/>
          <w:i/>
          <w:iCs/>
        </w:rPr>
        <w:t>How these implications will be addressed:</w:t>
      </w:r>
    </w:p>
    <w:p w14:paraId="28CE86D3" w14:textId="0D19EB84" w:rsidR="00B11BD3" w:rsidRPr="009E4139" w:rsidRDefault="003B473C" w:rsidP="399D01E0">
      <w:pPr>
        <w:pBdr>
          <w:bottom w:val="single" w:sz="12" w:space="1" w:color="auto"/>
        </w:pBdr>
      </w:pPr>
      <w:r>
        <w:t xml:space="preserve">The </w:t>
      </w:r>
      <w:r w:rsidR="78AB0561">
        <w:t>SFCA and Infrastructure Paper</w:t>
      </w:r>
      <w:r w:rsidR="0FC2CE61">
        <w:t xml:space="preserve"> as prepared as part of the </w:t>
      </w:r>
      <w:r w:rsidR="004A6974">
        <w:t>Plan</w:t>
      </w:r>
      <w:r w:rsidR="523CB3B9">
        <w:t>s evidence base</w:t>
      </w:r>
      <w:r w:rsidR="004A6974">
        <w:t xml:space="preserve"> is considered</w:t>
      </w:r>
      <w:r w:rsidR="114B0135">
        <w:t xml:space="preserve"> sufficient</w:t>
      </w:r>
      <w:r w:rsidR="00E71515">
        <w:t xml:space="preserve"> and robust.  </w:t>
      </w:r>
      <w:proofErr w:type="gramStart"/>
      <w:r w:rsidR="4C989B5A">
        <w:t>In light of</w:t>
      </w:r>
      <w:proofErr w:type="gramEnd"/>
      <w:r w:rsidR="4C989B5A">
        <w:t xml:space="preserve"> the evidence base and the plans strategy it is not considered that </w:t>
      </w:r>
      <w:r w:rsidR="46BA1E96" w:rsidRPr="33027CD6">
        <w:t>the strategy of the Revised LDP is affected by flood risk</w:t>
      </w:r>
      <w:r w:rsidR="008065E6">
        <w:t xml:space="preserve">.  </w:t>
      </w:r>
      <w:r w:rsidR="303437D2">
        <w:t>A</w:t>
      </w:r>
      <w:r w:rsidR="00201EFE">
        <w:t xml:space="preserve"> </w:t>
      </w:r>
      <w:r w:rsidR="38D8CA64">
        <w:t>small-scale</w:t>
      </w:r>
      <w:r w:rsidR="00201EFE">
        <w:t xml:space="preserve"> re-appraisal of </w:t>
      </w:r>
      <w:r w:rsidR="008065E6">
        <w:t>both the S</w:t>
      </w:r>
      <w:r w:rsidR="00F10B7D">
        <w:t xml:space="preserve">FCA and Infrastructure Paper </w:t>
      </w:r>
      <w:r w:rsidR="00306A5A">
        <w:t xml:space="preserve">taking account of the most recent flood maps </w:t>
      </w:r>
      <w:r w:rsidR="00F10B7D">
        <w:t xml:space="preserve">will be </w:t>
      </w:r>
      <w:r w:rsidR="00B56430">
        <w:t xml:space="preserve">undertaken to ensure that they remain </w:t>
      </w:r>
      <w:r w:rsidR="00540201">
        <w:t>fit for purpose for the adoption of the Plan.</w:t>
      </w:r>
    </w:p>
    <w:p w14:paraId="45964882" w14:textId="77777777" w:rsidR="00FE3724" w:rsidRDefault="00FE3724"/>
    <w:p w14:paraId="7027544F" w14:textId="77777777" w:rsidR="008668D1" w:rsidRDefault="00FD1646" w:rsidP="008668D1">
      <w:pPr>
        <w:pStyle w:val="Heading2"/>
      </w:pPr>
      <w:r w:rsidRPr="00FD1646">
        <w:t xml:space="preserve">Paragraph </w:t>
      </w:r>
      <w:r w:rsidR="00B11BD3" w:rsidRPr="00FD1646">
        <w:t>10.6</w:t>
      </w:r>
    </w:p>
    <w:p w14:paraId="1617267F" w14:textId="782CF7B2" w:rsidR="00B11BD3" w:rsidRPr="00B11BD3" w:rsidRDefault="00B11BD3" w:rsidP="00B11BD3">
      <w:r>
        <w:t>‘</w:t>
      </w:r>
      <w:r w:rsidRPr="003D1D3D">
        <w:rPr>
          <w:i/>
          <w:iCs/>
        </w:rPr>
        <w:t>Local Authorities must consider how mitigation measures will be funded and maintained.</w:t>
      </w:r>
      <w:r w:rsidR="0070095E" w:rsidRPr="003D1D3D">
        <w:rPr>
          <w:i/>
          <w:iCs/>
        </w:rPr>
        <w:t xml:space="preserve">  </w:t>
      </w:r>
      <w:r w:rsidR="003D1D3D" w:rsidRPr="003D1D3D">
        <w:rPr>
          <w:i/>
          <w:iCs/>
        </w:rPr>
        <w:t>All options including leveraging private sector contributions through the Community Infrastructure Levy must be considered and fully explored.</w:t>
      </w:r>
      <w:r w:rsidR="00202067">
        <w:rPr>
          <w:i/>
          <w:iCs/>
        </w:rPr>
        <w:t>’</w:t>
      </w:r>
    </w:p>
    <w:p w14:paraId="587C2D81" w14:textId="77777777" w:rsidR="00202067" w:rsidRPr="00190FDC" w:rsidRDefault="00202067" w:rsidP="00202067">
      <w:pPr>
        <w:rPr>
          <w:b/>
          <w:bCs/>
          <w:i/>
          <w:iCs/>
        </w:rPr>
      </w:pPr>
      <w:r w:rsidRPr="00AE592B">
        <w:rPr>
          <w:b/>
          <w:bCs/>
          <w:i/>
          <w:iCs/>
        </w:rPr>
        <w:t>How these implications will be addressed:</w:t>
      </w:r>
    </w:p>
    <w:p w14:paraId="762934D9" w14:textId="7C7BF3F5" w:rsidR="00B11BD3" w:rsidRPr="00202067" w:rsidRDefault="009464E6" w:rsidP="399D01E0">
      <w:r>
        <w:t>To be considered in</w:t>
      </w:r>
      <w:r w:rsidR="004D3CA7">
        <w:t xml:space="preserve"> the relevant policies </w:t>
      </w:r>
      <w:r w:rsidR="00C85DA9">
        <w:t>(</w:t>
      </w:r>
      <w:r w:rsidR="6C7CB80B">
        <w:t>specific reference is made to</w:t>
      </w:r>
      <w:r w:rsidR="00C85DA9">
        <w:t xml:space="preserve"> CCH5</w:t>
      </w:r>
      <w:r w:rsidR="0D40B260">
        <w:t>:</w:t>
      </w:r>
      <w:r w:rsidR="00C85DA9">
        <w:t xml:space="preserve"> Flood Risk Management and Avoidance</w:t>
      </w:r>
      <w:r w:rsidR="00B64C0C">
        <w:t xml:space="preserve">) </w:t>
      </w:r>
      <w:r w:rsidR="004D3CA7">
        <w:t>and inc</w:t>
      </w:r>
      <w:r w:rsidR="4AAFB80B">
        <w:t>orporated</w:t>
      </w:r>
      <w:r w:rsidR="004D3CA7">
        <w:t xml:space="preserve"> as </w:t>
      </w:r>
      <w:r w:rsidR="3184BBA9">
        <w:t xml:space="preserve">part of the </w:t>
      </w:r>
      <w:r w:rsidR="004D3CA7">
        <w:t>Matters Arising Changes</w:t>
      </w:r>
      <w:r w:rsidR="00741AAF">
        <w:t xml:space="preserve"> where relevant.</w:t>
      </w:r>
      <w:r w:rsidR="00306A5A">
        <w:t xml:space="preserve"> </w:t>
      </w:r>
    </w:p>
    <w:p w14:paraId="78B31FBA" w14:textId="5CE24197" w:rsidR="00B11BD3" w:rsidRDefault="00306A5A" w:rsidP="39B524C6">
      <w:pPr>
        <w:pBdr>
          <w:bottom w:val="single" w:sz="12" w:space="1" w:color="auto"/>
        </w:pBdr>
      </w:pPr>
      <w:r>
        <w:t xml:space="preserve">The existing policy </w:t>
      </w:r>
      <w:r w:rsidR="00BC4A6E">
        <w:t>INF1</w:t>
      </w:r>
      <w:r w:rsidR="651AE968">
        <w:t>:</w:t>
      </w:r>
      <w:r>
        <w:t xml:space="preserve"> Planning Obligations captures the requirements of </w:t>
      </w:r>
      <w:r w:rsidR="00484340">
        <w:t xml:space="preserve">contributing towards </w:t>
      </w:r>
      <w:r w:rsidR="00BC4A6E">
        <w:t>improving infrastructure</w:t>
      </w:r>
      <w:r w:rsidR="002A593A">
        <w:t xml:space="preserve"> and is therefore unlikely to require amendments</w:t>
      </w:r>
      <w:r w:rsidR="00074482">
        <w:t xml:space="preserve"> in this respect</w:t>
      </w:r>
      <w:r w:rsidR="002A593A">
        <w:t xml:space="preserve">. </w:t>
      </w:r>
      <w:r w:rsidR="241A3102">
        <w:t>Note the Council does not operate a Community Infrastructure Levy.</w:t>
      </w:r>
    </w:p>
    <w:p w14:paraId="4EBF2824" w14:textId="77777777" w:rsidR="00FE3724" w:rsidRPr="00202067" w:rsidRDefault="00FE3724" w:rsidP="399D01E0">
      <w:pPr>
        <w:pBdr>
          <w:bottom w:val="single" w:sz="12" w:space="1" w:color="auto"/>
        </w:pBdr>
      </w:pPr>
    </w:p>
    <w:p w14:paraId="1626A36F" w14:textId="210DD08E" w:rsidR="4878670C" w:rsidRPr="0047321F" w:rsidRDefault="00934151" w:rsidP="00E773AF">
      <w:pPr>
        <w:pStyle w:val="Heading2"/>
      </w:pPr>
      <w:r w:rsidRPr="0047321F">
        <w:t>Defended Zones</w:t>
      </w:r>
    </w:p>
    <w:p w14:paraId="29FDA1C9" w14:textId="77777777" w:rsidR="00B11BD3" w:rsidRPr="00B11BD3" w:rsidRDefault="00B11BD3" w:rsidP="00B11BD3"/>
    <w:p w14:paraId="4AFDA1D9" w14:textId="77777777" w:rsidR="0047321F" w:rsidRDefault="001167D7" w:rsidP="0047321F">
      <w:pPr>
        <w:pStyle w:val="Heading2"/>
      </w:pPr>
      <w:r w:rsidRPr="001167D7">
        <w:lastRenderedPageBreak/>
        <w:t xml:space="preserve">Paragraph </w:t>
      </w:r>
      <w:r w:rsidR="00B11BD3" w:rsidRPr="001167D7">
        <w:t>10.16</w:t>
      </w:r>
    </w:p>
    <w:p w14:paraId="0234599D" w14:textId="618F214E" w:rsidR="00B11BD3" w:rsidRPr="00DA2790" w:rsidRDefault="00DC499A" w:rsidP="00B11BD3">
      <w:pPr>
        <w:rPr>
          <w:i/>
          <w:iCs/>
        </w:rPr>
      </w:pPr>
      <w:r>
        <w:t>‘</w:t>
      </w:r>
      <w:r w:rsidR="00B11BD3" w:rsidRPr="00DC499A">
        <w:rPr>
          <w:i/>
          <w:iCs/>
        </w:rPr>
        <w:t>Before allocating land in Defended Zones, Local Planning Authorities will have undertaken a full flood risk assessment through an SFCA</w:t>
      </w:r>
      <w:r w:rsidR="00DA2790" w:rsidRPr="00DA2790">
        <w:rPr>
          <w:i/>
          <w:iCs/>
        </w:rPr>
        <w:t xml:space="preserve">, and other additional </w:t>
      </w:r>
      <w:proofErr w:type="gramStart"/>
      <w:r w:rsidR="00DA2790" w:rsidRPr="00DA2790">
        <w:rPr>
          <w:i/>
          <w:iCs/>
        </w:rPr>
        <w:t>studies</w:t>
      </w:r>
      <w:proofErr w:type="gramEnd"/>
      <w:r w:rsidR="00DA2790" w:rsidRPr="00DA2790">
        <w:rPr>
          <w:i/>
          <w:iCs/>
        </w:rPr>
        <w:t xml:space="preserve"> if necessary, to understand the probability and potential consequences of flooding in the area.</w:t>
      </w:r>
      <w:r w:rsidR="00DA2790">
        <w:rPr>
          <w:i/>
          <w:iCs/>
        </w:rPr>
        <w:t>’</w:t>
      </w:r>
    </w:p>
    <w:p w14:paraId="5F50194C" w14:textId="77777777" w:rsidR="002A58A9" w:rsidRPr="00190FDC" w:rsidRDefault="002A58A9" w:rsidP="002A58A9">
      <w:pPr>
        <w:rPr>
          <w:b/>
          <w:bCs/>
          <w:i/>
          <w:iCs/>
        </w:rPr>
      </w:pPr>
      <w:r w:rsidRPr="00AE592B">
        <w:rPr>
          <w:b/>
          <w:bCs/>
          <w:i/>
          <w:iCs/>
        </w:rPr>
        <w:t>How these implications will be addressed:</w:t>
      </w:r>
    </w:p>
    <w:p w14:paraId="30BEF5D4" w14:textId="04A84EB1" w:rsidR="00692AC5" w:rsidRDefault="00576371" w:rsidP="76567BC0">
      <w:pPr>
        <w:pBdr>
          <w:bottom w:val="single" w:sz="12" w:space="1" w:color="auto"/>
        </w:pBdr>
      </w:pPr>
      <w:r>
        <w:t xml:space="preserve">Work undertaken </w:t>
      </w:r>
      <w:r w:rsidR="0067238C">
        <w:t>to date</w:t>
      </w:r>
      <w:r w:rsidR="003E56F4">
        <w:t xml:space="preserve"> in the SFCA of the Second Deposit Revised LDP Sites (Feb 2023) (CSD226) and the South West Wales – Stage 1 SFCA (Nov 2022) (CSD227) both took account of Defended Zones</w:t>
      </w:r>
      <w:r w:rsidR="0068783C">
        <w:t xml:space="preserve">.  </w:t>
      </w:r>
      <w:r w:rsidR="00D33050">
        <w:t xml:space="preserve">This will be </w:t>
      </w:r>
      <w:r w:rsidR="078CBC2B">
        <w:t>revisited,</w:t>
      </w:r>
      <w:r w:rsidR="00AA2D84">
        <w:t xml:space="preserve"> and a refresh </w:t>
      </w:r>
      <w:r w:rsidR="004B3F12">
        <w:t xml:space="preserve">(a mapping exercise) </w:t>
      </w:r>
      <w:r w:rsidR="00AA2D84">
        <w:t>will be carried</w:t>
      </w:r>
      <w:r w:rsidR="004B3F12">
        <w:t xml:space="preserve"> out</w:t>
      </w:r>
      <w:r w:rsidR="00582A8A">
        <w:t xml:space="preserve"> to ensure it remains fit for purpose.</w:t>
      </w:r>
    </w:p>
    <w:p w14:paraId="43990495" w14:textId="77777777" w:rsidR="00FE3724" w:rsidRDefault="00FE3724" w:rsidP="76567BC0">
      <w:pPr>
        <w:pBdr>
          <w:bottom w:val="single" w:sz="12" w:space="1" w:color="auto"/>
        </w:pBdr>
      </w:pPr>
    </w:p>
    <w:p w14:paraId="23179E44" w14:textId="77777777" w:rsidR="00FE3724" w:rsidRPr="005A3C00" w:rsidRDefault="00FE3724" w:rsidP="399D01E0"/>
    <w:p w14:paraId="4302F97F" w14:textId="77777777" w:rsidR="0047321F" w:rsidRDefault="00DB535F" w:rsidP="0047321F">
      <w:pPr>
        <w:pStyle w:val="Heading2"/>
      </w:pPr>
      <w:r w:rsidRPr="00DB535F">
        <w:t xml:space="preserve">Paragraph </w:t>
      </w:r>
      <w:r w:rsidR="6317C51E" w:rsidRPr="00DB535F">
        <w:t>10.18</w:t>
      </w:r>
    </w:p>
    <w:p w14:paraId="2E29BCFD" w14:textId="67DDCCB4" w:rsidR="00DB535F" w:rsidRDefault="000F0841" w:rsidP="399D01E0">
      <w:r>
        <w:t>‘</w:t>
      </w:r>
      <w:r w:rsidRPr="000F0841">
        <w:rPr>
          <w:i/>
          <w:iCs/>
        </w:rPr>
        <w:t>In Zone 2 allocations may be made for new development and redevelopment of any vulnerability that is necessary to implement the strategy of an LDP, a strategy to regenerate or revitalise existing settlements or to achieve key economic or environmental objectives, provided that a Strategic Flood Consequences Assessment has identified an acceptable level of risk</w:t>
      </w:r>
      <w:r>
        <w:t>.’</w:t>
      </w:r>
    </w:p>
    <w:p w14:paraId="56C13A12" w14:textId="5B2594AC" w:rsidR="00DB535F" w:rsidRDefault="00D15993" w:rsidP="399D01E0">
      <w:r>
        <w:t>The par</w:t>
      </w:r>
      <w:r w:rsidR="00F96915">
        <w:t>agraph goes on to say</w:t>
      </w:r>
      <w:r w:rsidR="00972DDE">
        <w:t xml:space="preserve">:  </w:t>
      </w:r>
    </w:p>
    <w:p w14:paraId="7221C4BC" w14:textId="4CD05AFE" w:rsidR="00972DDE" w:rsidRPr="00972DDE" w:rsidRDefault="00972DDE" w:rsidP="399D01E0">
      <w:pPr>
        <w:rPr>
          <w:i/>
          <w:iCs/>
        </w:rPr>
      </w:pPr>
      <w:r w:rsidRPr="00972DDE">
        <w:rPr>
          <w:i/>
          <w:iCs/>
        </w:rPr>
        <w:t>‘Flood resilient design is more important in Zone 2 than Zone 1 and authorities should make it a requirement through the inclusion of appropriate LDP policies and use of planning conditions.’</w:t>
      </w:r>
    </w:p>
    <w:p w14:paraId="65CF1BE0" w14:textId="77777777" w:rsidR="00034147" w:rsidRPr="00190FDC" w:rsidRDefault="00034147" w:rsidP="00034147">
      <w:pPr>
        <w:rPr>
          <w:b/>
          <w:bCs/>
          <w:i/>
          <w:iCs/>
        </w:rPr>
      </w:pPr>
      <w:r w:rsidRPr="00AE592B">
        <w:rPr>
          <w:b/>
          <w:bCs/>
          <w:i/>
          <w:iCs/>
        </w:rPr>
        <w:t>How these implications will be addressed:</w:t>
      </w:r>
    </w:p>
    <w:p w14:paraId="2C3800A7" w14:textId="507A18BF" w:rsidR="00034147" w:rsidRDefault="00337A07" w:rsidP="399D01E0">
      <w:r>
        <w:t>The mapping exercise and</w:t>
      </w:r>
      <w:r w:rsidR="00061B72">
        <w:t xml:space="preserve"> refresh to the </w:t>
      </w:r>
      <w:r w:rsidR="00846F35">
        <w:t>SFCA of the Second Deposit Revised LDP Sites</w:t>
      </w:r>
      <w:r w:rsidR="00846F35" w:rsidDel="00846F35">
        <w:t xml:space="preserve"> </w:t>
      </w:r>
      <w:r>
        <w:t xml:space="preserve">will </w:t>
      </w:r>
      <w:r w:rsidR="00F401AB">
        <w:t>address any allocations in zone 2</w:t>
      </w:r>
      <w:r w:rsidR="00241F25">
        <w:t xml:space="preserve"> </w:t>
      </w:r>
      <w:r w:rsidR="00B01337">
        <w:t>to</w:t>
      </w:r>
      <w:r w:rsidR="00241F25">
        <w:t xml:space="preserve"> ensure that</w:t>
      </w:r>
      <w:r w:rsidR="00B01337">
        <w:t xml:space="preserve"> the requirements of the TAN are met.</w:t>
      </w:r>
    </w:p>
    <w:p w14:paraId="270C4D8C" w14:textId="0328F61E" w:rsidR="00034147" w:rsidRDefault="00B01337" w:rsidP="39B524C6">
      <w:pPr>
        <w:pBdr>
          <w:bottom w:val="single" w:sz="12" w:space="1" w:color="auto"/>
        </w:pBdr>
      </w:pPr>
      <w:r>
        <w:t xml:space="preserve">In </w:t>
      </w:r>
      <w:r w:rsidR="000E5768">
        <w:t>terms of</w:t>
      </w:r>
      <w:r>
        <w:t xml:space="preserve"> flood resilient </w:t>
      </w:r>
      <w:r w:rsidR="006E6FC8">
        <w:t xml:space="preserve">design, </w:t>
      </w:r>
      <w:r w:rsidR="002B0F56">
        <w:t>the rele</w:t>
      </w:r>
      <w:r w:rsidR="00EC4D9F">
        <w:t>vant policies in the plan will be amended</w:t>
      </w:r>
      <w:r w:rsidR="00BA3B37">
        <w:t>,</w:t>
      </w:r>
      <w:r w:rsidR="00EC4D9F">
        <w:t xml:space="preserve"> if necessary</w:t>
      </w:r>
      <w:r w:rsidR="00BA3B37">
        <w:t>,</w:t>
      </w:r>
      <w:r w:rsidR="00EC4D9F">
        <w:t xml:space="preserve"> to </w:t>
      </w:r>
      <w:r w:rsidR="006601C9">
        <w:t xml:space="preserve">ensure that the Plan </w:t>
      </w:r>
      <w:r w:rsidR="6F22999C">
        <w:t>is reflective of these requirements</w:t>
      </w:r>
      <w:r w:rsidR="00BA3B37">
        <w:t>.</w:t>
      </w:r>
      <w:r w:rsidR="00B34FA1">
        <w:t xml:space="preserve"> </w:t>
      </w:r>
      <w:r w:rsidR="00E367E5">
        <w:t xml:space="preserve"> </w:t>
      </w:r>
      <w:r w:rsidR="3074AD76">
        <w:t xml:space="preserve">Consideration will be given to </w:t>
      </w:r>
      <w:r w:rsidR="00E367E5">
        <w:t xml:space="preserve">Strategic Policy SP12 Placemaking and Sustainable Places </w:t>
      </w:r>
      <w:r w:rsidR="58BA20F3">
        <w:t>as</w:t>
      </w:r>
      <w:r w:rsidR="00E367E5">
        <w:t xml:space="preserve"> the most appropriate policy to cover this issue.</w:t>
      </w:r>
    </w:p>
    <w:p w14:paraId="46E7CC2E" w14:textId="77777777" w:rsidR="00FE3724" w:rsidRDefault="00FE3724" w:rsidP="399D01E0">
      <w:pPr>
        <w:pBdr>
          <w:bottom w:val="single" w:sz="12" w:space="1" w:color="auto"/>
        </w:pBdr>
      </w:pPr>
    </w:p>
    <w:p w14:paraId="38A5F80C" w14:textId="77777777" w:rsidR="00FE3724" w:rsidRPr="00B11BD3" w:rsidRDefault="00FE3724" w:rsidP="00B11BD3"/>
    <w:p w14:paraId="60A9779D" w14:textId="77777777" w:rsidR="008039E1" w:rsidRDefault="002572A6" w:rsidP="008039E1">
      <w:pPr>
        <w:pStyle w:val="Heading2"/>
      </w:pPr>
      <w:r w:rsidRPr="00A30AC1">
        <w:lastRenderedPageBreak/>
        <w:t xml:space="preserve">Paragraph </w:t>
      </w:r>
      <w:r w:rsidR="00B11BD3" w:rsidRPr="00A30AC1">
        <w:t>10.20</w:t>
      </w:r>
    </w:p>
    <w:p w14:paraId="0F7F5B8A" w14:textId="55B6CB7E" w:rsidR="002572A6" w:rsidRPr="002572A6" w:rsidRDefault="00B11BD3" w:rsidP="00B11BD3">
      <w:pPr>
        <w:rPr>
          <w:i/>
          <w:iCs/>
        </w:rPr>
      </w:pPr>
      <w:r w:rsidRPr="002572A6">
        <w:rPr>
          <w:i/>
          <w:iCs/>
        </w:rPr>
        <w:t>In Zone 3 allocations for highly vulnerable new development must not be made as the risks and consequences of flooding are not considered acceptable</w:t>
      </w:r>
      <w:r w:rsidR="00A30AC1">
        <w:rPr>
          <w:i/>
          <w:iCs/>
        </w:rPr>
        <w:t xml:space="preserve"> for these types of development</w:t>
      </w:r>
      <w:r w:rsidRPr="002572A6">
        <w:rPr>
          <w:i/>
          <w:iCs/>
        </w:rPr>
        <w:t>’</w:t>
      </w:r>
    </w:p>
    <w:p w14:paraId="47931A81" w14:textId="77777777" w:rsidR="00DB76C1" w:rsidRPr="00190FDC" w:rsidRDefault="00DB76C1" w:rsidP="00DB76C1">
      <w:pPr>
        <w:rPr>
          <w:b/>
          <w:bCs/>
          <w:i/>
          <w:iCs/>
        </w:rPr>
      </w:pPr>
      <w:r w:rsidRPr="00AE592B">
        <w:rPr>
          <w:b/>
          <w:bCs/>
          <w:i/>
          <w:iCs/>
        </w:rPr>
        <w:t>How these implications will be addressed:</w:t>
      </w:r>
    </w:p>
    <w:p w14:paraId="41229E73" w14:textId="0768A95A" w:rsidR="00D87F75" w:rsidRDefault="00851E43" w:rsidP="00D87F75">
      <w:r>
        <w:t xml:space="preserve">The SFCA of the Second Deposit Revised LDP Sites identifies </w:t>
      </w:r>
      <w:r w:rsidR="00EA2BB6">
        <w:t>individual sites that are affected</w:t>
      </w:r>
      <w:r>
        <w:t xml:space="preserve"> and the level of risk flooding presents</w:t>
      </w:r>
      <w:r w:rsidR="00EA2BB6">
        <w:t>.  A number fall within zone 3 for flooding from surface water and small water</w:t>
      </w:r>
      <w:r w:rsidR="0058293B">
        <w:t>courses.</w:t>
      </w:r>
      <w:r w:rsidR="004D1727">
        <w:t xml:space="preserve">  </w:t>
      </w:r>
      <w:r w:rsidR="00D87F75">
        <w:t xml:space="preserve">The mapping exercise and </w:t>
      </w:r>
      <w:r w:rsidR="4F2E62E9">
        <w:t xml:space="preserve">further assessment of sites </w:t>
      </w:r>
      <w:r w:rsidR="00D87F75">
        <w:t xml:space="preserve">will </w:t>
      </w:r>
      <w:r w:rsidR="105B16FC">
        <w:t>identify</w:t>
      </w:r>
      <w:r w:rsidR="00D87F75">
        <w:t xml:space="preserve"> any allocations </w:t>
      </w:r>
      <w:r w:rsidR="00ED7282">
        <w:t>affected</w:t>
      </w:r>
      <w:r w:rsidR="00D87F75">
        <w:t xml:space="preserve"> to ensure that the requirements of the TAN are met.</w:t>
      </w:r>
    </w:p>
    <w:p w14:paraId="76396374" w14:textId="77777777" w:rsidR="00B11BD3" w:rsidRDefault="00B11BD3" w:rsidP="00B11BD3">
      <w:pPr>
        <w:pBdr>
          <w:bottom w:val="single" w:sz="12" w:space="1" w:color="auto"/>
        </w:pBdr>
      </w:pPr>
    </w:p>
    <w:p w14:paraId="5B7BA91E" w14:textId="77777777" w:rsidR="00055147" w:rsidRPr="00B11BD3" w:rsidRDefault="00055147" w:rsidP="00B11BD3"/>
    <w:p w14:paraId="23FB9B37" w14:textId="77777777" w:rsidR="008039E1" w:rsidRDefault="00EB2944" w:rsidP="008039E1">
      <w:pPr>
        <w:pStyle w:val="Heading2"/>
      </w:pPr>
      <w:r w:rsidRPr="0080737B">
        <w:t>Para</w:t>
      </w:r>
      <w:r w:rsidR="0080737B" w:rsidRPr="0080737B">
        <w:t xml:space="preserve">graph </w:t>
      </w:r>
      <w:r w:rsidR="22A6C2C8" w:rsidRPr="0080737B">
        <w:t>10.27</w:t>
      </w:r>
    </w:p>
    <w:p w14:paraId="7C2F33F7" w14:textId="38610D4D" w:rsidR="00EB2944" w:rsidRDefault="0080737B" w:rsidP="399D01E0">
      <w:r>
        <w:t>‘</w:t>
      </w:r>
      <w:r w:rsidRPr="0080737B">
        <w:rPr>
          <w:i/>
          <w:iCs/>
        </w:rPr>
        <w:t xml:space="preserve">Land allocated for new development in flood risk </w:t>
      </w:r>
      <w:proofErr w:type="gramStart"/>
      <w:r w:rsidRPr="0080737B">
        <w:rPr>
          <w:i/>
          <w:iCs/>
        </w:rPr>
        <w:t>zone</w:t>
      </w:r>
      <w:proofErr w:type="gramEnd"/>
      <w:r w:rsidRPr="0080737B">
        <w:rPr>
          <w:i/>
          <w:iCs/>
        </w:rPr>
        <w:t xml:space="preserve"> 2 or 3 should include annotation of flooding as a constraint for the individual site either in the Development Plan or on the proposals map. Any flood-related requirements for the development of that site should be specified in the Development Plan. This will include making it clear that in taking forward the allocation a developer will need to undertake detailed technical assessments prior to submitting a planning application</w:t>
      </w:r>
      <w:r>
        <w:t>.’</w:t>
      </w:r>
    </w:p>
    <w:p w14:paraId="332CAB43" w14:textId="77777777" w:rsidR="00754B15" w:rsidRPr="00190FDC" w:rsidRDefault="00754B15" w:rsidP="00754B15">
      <w:pPr>
        <w:rPr>
          <w:b/>
          <w:bCs/>
          <w:i/>
          <w:iCs/>
        </w:rPr>
      </w:pPr>
      <w:r w:rsidRPr="00AE592B">
        <w:rPr>
          <w:b/>
          <w:bCs/>
          <w:i/>
          <w:iCs/>
        </w:rPr>
        <w:t>How these implications will be addressed:</w:t>
      </w:r>
    </w:p>
    <w:p w14:paraId="4EA38EA8" w14:textId="2A3CFAB4" w:rsidR="00EB2944" w:rsidRDefault="0865EC89" w:rsidP="399D01E0">
      <w:r>
        <w:t>Where l</w:t>
      </w:r>
      <w:r w:rsidR="00A409ED">
        <w:t xml:space="preserve">and </w:t>
      </w:r>
      <w:r w:rsidR="5E84A58E">
        <w:t xml:space="preserve">may have been </w:t>
      </w:r>
      <w:r w:rsidR="00A409ED">
        <w:t xml:space="preserve">allocated for new development in flood risk zone 2 or </w:t>
      </w:r>
      <w:proofErr w:type="gramStart"/>
      <w:r w:rsidR="00A409ED">
        <w:t>3</w:t>
      </w:r>
      <w:proofErr w:type="gramEnd"/>
      <w:r w:rsidR="00A409ED">
        <w:t xml:space="preserve"> </w:t>
      </w:r>
      <w:r w:rsidR="5FD523BF">
        <w:t xml:space="preserve">they </w:t>
      </w:r>
      <w:r w:rsidR="00A409ED">
        <w:t>have been</w:t>
      </w:r>
      <w:r w:rsidR="00A409ED" w:rsidRPr="39B524C6">
        <w:rPr>
          <w:i/>
          <w:iCs/>
        </w:rPr>
        <w:t xml:space="preserve"> </w:t>
      </w:r>
      <w:r w:rsidR="2A691C2A">
        <w:t>identified</w:t>
      </w:r>
      <w:r w:rsidR="27C14D17">
        <w:t xml:space="preserve"> and considered</w:t>
      </w:r>
      <w:r w:rsidR="00796FD3">
        <w:t xml:space="preserve"> </w:t>
      </w:r>
      <w:r w:rsidR="3D05EFEA">
        <w:t>as part of the SFCA</w:t>
      </w:r>
      <w:r w:rsidR="6B1C8E27">
        <w:t xml:space="preserve">. </w:t>
      </w:r>
      <w:r w:rsidR="003A05FF">
        <w:t xml:space="preserve"> </w:t>
      </w:r>
      <w:r w:rsidR="1443412B">
        <w:t>However,</w:t>
      </w:r>
      <w:r w:rsidR="00414BA0">
        <w:t xml:space="preserve"> this requirement in the revised TAN</w:t>
      </w:r>
      <w:r w:rsidR="136DDE8F">
        <w:t>15</w:t>
      </w:r>
      <w:r w:rsidR="00414BA0">
        <w:t xml:space="preserve"> means </w:t>
      </w:r>
      <w:r w:rsidR="2D695098">
        <w:t>that such</w:t>
      </w:r>
      <w:r w:rsidR="65BC823C">
        <w:t xml:space="preserve"> implications</w:t>
      </w:r>
      <w:r w:rsidR="000F1115">
        <w:t xml:space="preserve"> </w:t>
      </w:r>
      <w:r w:rsidR="63137FB7">
        <w:t xml:space="preserve">will need to be indicated </w:t>
      </w:r>
      <w:r w:rsidR="000F1115">
        <w:t>in the Plan</w:t>
      </w:r>
      <w:r w:rsidR="25F6506B">
        <w:t xml:space="preserve"> and </w:t>
      </w:r>
      <w:r w:rsidR="53BF6EEB" w:rsidRPr="39B524C6">
        <w:rPr>
          <w:i/>
          <w:iCs/>
        </w:rPr>
        <w:t xml:space="preserve">that </w:t>
      </w:r>
      <w:r w:rsidR="53BF6EEB">
        <w:t>in taking forward the allocation a developer will need to undertake detailed technical assessments prior to submitting a planning application</w:t>
      </w:r>
      <w:r w:rsidR="000F1115">
        <w:t xml:space="preserve">. </w:t>
      </w:r>
      <w:r w:rsidR="0B13C400">
        <w:t xml:space="preserve"> The Council notes this requirement, and i</w:t>
      </w:r>
      <w:r w:rsidR="71D5473E">
        <w:t xml:space="preserve">t is proposed that </w:t>
      </w:r>
      <w:r w:rsidR="365E4BA9">
        <w:t>t</w:t>
      </w:r>
      <w:r w:rsidR="000F1115">
        <w:t xml:space="preserve">his </w:t>
      </w:r>
      <w:r w:rsidR="004B5BC1">
        <w:t xml:space="preserve">could be done </w:t>
      </w:r>
      <w:r w:rsidR="000A70C7">
        <w:t xml:space="preserve">by </w:t>
      </w:r>
      <w:r w:rsidR="004B5BC1">
        <w:t>using</w:t>
      </w:r>
      <w:r w:rsidR="008A0ED6">
        <w:t xml:space="preserve"> a symbol on the affected site on the Proposals Map and </w:t>
      </w:r>
      <w:r w:rsidR="000A70C7">
        <w:t>by using an asterisk and footnote</w:t>
      </w:r>
      <w:r w:rsidR="004D3BB4">
        <w:t xml:space="preserve"> </w:t>
      </w:r>
      <w:r w:rsidR="008A0ED6">
        <w:t xml:space="preserve">in the </w:t>
      </w:r>
      <w:r w:rsidR="004D3BB4">
        <w:t xml:space="preserve">written statement.  </w:t>
      </w:r>
      <w:r w:rsidR="00A67A53">
        <w:t>This will be subject to agreement with the Inspectors.</w:t>
      </w:r>
    </w:p>
    <w:p w14:paraId="47639D8D" w14:textId="77777777" w:rsidR="008039E1" w:rsidRDefault="008039E1" w:rsidP="399D01E0">
      <w:pPr>
        <w:pBdr>
          <w:bottom w:val="single" w:sz="12" w:space="1" w:color="auto"/>
        </w:pBdr>
        <w:rPr>
          <w:b/>
          <w:bCs/>
        </w:rPr>
      </w:pPr>
    </w:p>
    <w:p w14:paraId="2BEA2A36" w14:textId="30A1560E" w:rsidR="008039E1" w:rsidRDefault="00CA3872" w:rsidP="00137E95">
      <w:pPr>
        <w:pStyle w:val="Heading1"/>
        <w:rPr>
          <w:b/>
          <w:bCs/>
          <w:sz w:val="28"/>
          <w:szCs w:val="28"/>
        </w:rPr>
      </w:pPr>
      <w:r>
        <w:rPr>
          <w:rStyle w:val="Heading1Char"/>
          <w:sz w:val="28"/>
          <w:szCs w:val="28"/>
        </w:rPr>
        <w:t xml:space="preserve">TAN15 </w:t>
      </w:r>
      <w:proofErr w:type="gramStart"/>
      <w:r>
        <w:rPr>
          <w:rStyle w:val="Heading1Char"/>
          <w:sz w:val="28"/>
          <w:szCs w:val="28"/>
        </w:rPr>
        <w:t xml:space="preserve">-  </w:t>
      </w:r>
      <w:r w:rsidR="00725BA5" w:rsidRPr="00137E95">
        <w:rPr>
          <w:rStyle w:val="Heading1Char"/>
          <w:sz w:val="28"/>
          <w:szCs w:val="28"/>
        </w:rPr>
        <w:t>Chapter</w:t>
      </w:r>
      <w:proofErr w:type="gramEnd"/>
      <w:r w:rsidR="00725BA5" w:rsidRPr="00137E95">
        <w:rPr>
          <w:rStyle w:val="Heading1Char"/>
          <w:sz w:val="28"/>
          <w:szCs w:val="28"/>
        </w:rPr>
        <w:t xml:space="preserve"> 11</w:t>
      </w:r>
      <w:r>
        <w:rPr>
          <w:rStyle w:val="Heading1Char"/>
          <w:sz w:val="28"/>
          <w:szCs w:val="28"/>
        </w:rPr>
        <w:t>.</w:t>
      </w:r>
      <w:r w:rsidR="00725BA5" w:rsidRPr="00137E95">
        <w:rPr>
          <w:rStyle w:val="Heading1Char"/>
          <w:sz w:val="28"/>
          <w:szCs w:val="28"/>
        </w:rPr>
        <w:t xml:space="preserve"> Acceptability o</w:t>
      </w:r>
      <w:r w:rsidR="00F152ED" w:rsidRPr="00137E95">
        <w:rPr>
          <w:rStyle w:val="Heading1Char"/>
          <w:sz w:val="28"/>
          <w:szCs w:val="28"/>
        </w:rPr>
        <w:t>f</w:t>
      </w:r>
      <w:r w:rsidR="00725BA5" w:rsidRPr="00137E95">
        <w:rPr>
          <w:rStyle w:val="Heading1Char"/>
          <w:sz w:val="28"/>
          <w:szCs w:val="28"/>
        </w:rPr>
        <w:t xml:space="preserve"> flood consequences</w:t>
      </w:r>
      <w:r w:rsidR="000A1C2A" w:rsidRPr="00137E95">
        <w:rPr>
          <w:b/>
          <w:bCs/>
          <w:sz w:val="28"/>
          <w:szCs w:val="28"/>
        </w:rPr>
        <w:t xml:space="preserve"> </w:t>
      </w:r>
    </w:p>
    <w:p w14:paraId="1A64A06A" w14:textId="77777777" w:rsidR="00E773AF" w:rsidRPr="00E773AF" w:rsidRDefault="00E773AF" w:rsidP="00E773AF"/>
    <w:p w14:paraId="4F8C3716" w14:textId="77777777" w:rsidR="00906348" w:rsidRDefault="00906348" w:rsidP="399D01E0">
      <w:pPr>
        <w:rPr>
          <w:i/>
          <w:iCs/>
        </w:rPr>
      </w:pPr>
      <w:r>
        <w:rPr>
          <w:rStyle w:val="Heading2Char"/>
        </w:rPr>
        <w:t xml:space="preserve">Paragraph </w:t>
      </w:r>
      <w:r w:rsidR="00F152ED" w:rsidRPr="00906348">
        <w:rPr>
          <w:rStyle w:val="Heading2Char"/>
        </w:rPr>
        <w:t>11.3</w:t>
      </w:r>
      <w:r w:rsidR="00F152ED" w:rsidRPr="00F152ED">
        <w:rPr>
          <w:i/>
          <w:iCs/>
        </w:rPr>
        <w:t xml:space="preserve"> </w:t>
      </w:r>
    </w:p>
    <w:p w14:paraId="4907B269" w14:textId="00802807" w:rsidR="00F152ED" w:rsidRDefault="00F152ED" w:rsidP="399D01E0">
      <w:pPr>
        <w:rPr>
          <w:i/>
          <w:iCs/>
        </w:rPr>
      </w:pPr>
      <w:r w:rsidRPr="00F152ED">
        <w:rPr>
          <w:i/>
          <w:iCs/>
        </w:rPr>
        <w:lastRenderedPageBreak/>
        <w:t xml:space="preserve">Whether a development should proceed or not will depend upon whether the consequences of flooding can be safely managed, including its effects on flood risk elsewhere. </w:t>
      </w:r>
    </w:p>
    <w:p w14:paraId="3E34C7F9" w14:textId="77777777" w:rsidR="00906348" w:rsidRDefault="00906348" w:rsidP="00906348">
      <w:pPr>
        <w:pStyle w:val="Heading2"/>
      </w:pPr>
      <w:r>
        <w:t>Paragraph 11.4</w:t>
      </w:r>
    </w:p>
    <w:p w14:paraId="06260853" w14:textId="592A1357" w:rsidR="00F152ED" w:rsidRDefault="00F152ED" w:rsidP="399D01E0">
      <w:pPr>
        <w:rPr>
          <w:i/>
          <w:iCs/>
        </w:rPr>
      </w:pPr>
      <w:r w:rsidRPr="00F152ED">
        <w:rPr>
          <w:i/>
          <w:iCs/>
        </w:rPr>
        <w:t xml:space="preserve"> There are requirements that must be in place for any development that is permitted to </w:t>
      </w:r>
      <w:proofErr w:type="gramStart"/>
      <w:r w:rsidRPr="00F152ED">
        <w:rPr>
          <w:i/>
          <w:iCs/>
        </w:rPr>
        <w:t>be located in</w:t>
      </w:r>
      <w:proofErr w:type="gramEnd"/>
      <w:r w:rsidRPr="00F152ED">
        <w:rPr>
          <w:i/>
          <w:iCs/>
        </w:rPr>
        <w:t xml:space="preserve"> flood risk areas. In all circumstances, developers and planning authorities should ensure the following conditions are met: </w:t>
      </w:r>
    </w:p>
    <w:p w14:paraId="0F00685F" w14:textId="77777777" w:rsidR="00F152ED" w:rsidRDefault="00F152ED" w:rsidP="399D01E0">
      <w:pPr>
        <w:rPr>
          <w:i/>
          <w:iCs/>
        </w:rPr>
      </w:pPr>
      <w:r w:rsidRPr="00F152ED">
        <w:rPr>
          <w:i/>
          <w:iCs/>
        </w:rPr>
        <w:t xml:space="preserve">• No increase in flooding elsewhere </w:t>
      </w:r>
    </w:p>
    <w:p w14:paraId="1DC34B47" w14:textId="77777777" w:rsidR="00F152ED" w:rsidRDefault="00F152ED" w:rsidP="399D01E0">
      <w:pPr>
        <w:rPr>
          <w:i/>
          <w:iCs/>
        </w:rPr>
      </w:pPr>
      <w:r w:rsidRPr="00F152ED">
        <w:rPr>
          <w:i/>
          <w:iCs/>
        </w:rPr>
        <w:t xml:space="preserve">• Occupiers aware of flood risk </w:t>
      </w:r>
    </w:p>
    <w:p w14:paraId="6C335B19" w14:textId="77777777" w:rsidR="00F152ED" w:rsidRDefault="00F152ED" w:rsidP="399D01E0">
      <w:pPr>
        <w:rPr>
          <w:i/>
          <w:iCs/>
        </w:rPr>
      </w:pPr>
      <w:r w:rsidRPr="00F152ED">
        <w:rPr>
          <w:i/>
          <w:iCs/>
        </w:rPr>
        <w:t xml:space="preserve">• Escape/evacuation routes present </w:t>
      </w:r>
    </w:p>
    <w:p w14:paraId="2C204546" w14:textId="77777777" w:rsidR="00F152ED" w:rsidRDefault="00F152ED" w:rsidP="399D01E0">
      <w:pPr>
        <w:rPr>
          <w:i/>
          <w:iCs/>
        </w:rPr>
      </w:pPr>
      <w:r w:rsidRPr="00F152ED">
        <w:rPr>
          <w:i/>
          <w:iCs/>
        </w:rPr>
        <w:t xml:space="preserve">• Flood emergency plans and procedures agreed and in place </w:t>
      </w:r>
    </w:p>
    <w:p w14:paraId="5A30AE5A" w14:textId="77777777" w:rsidR="00F152ED" w:rsidRDefault="00F152ED" w:rsidP="399D01E0">
      <w:pPr>
        <w:rPr>
          <w:i/>
          <w:iCs/>
        </w:rPr>
      </w:pPr>
      <w:r w:rsidRPr="00F152ED">
        <w:rPr>
          <w:i/>
          <w:iCs/>
        </w:rPr>
        <w:t xml:space="preserve">• Flood resistant and resilient design </w:t>
      </w:r>
    </w:p>
    <w:p w14:paraId="31CBA88D" w14:textId="72894E62" w:rsidR="001762EE" w:rsidRDefault="00F152ED" w:rsidP="399D01E0">
      <w:pPr>
        <w:rPr>
          <w:i/>
          <w:iCs/>
        </w:rPr>
      </w:pPr>
      <w:r w:rsidRPr="00F152ED">
        <w:rPr>
          <w:i/>
          <w:iCs/>
        </w:rPr>
        <w:t xml:space="preserve">• Acceptable consequences for type of use </w:t>
      </w:r>
    </w:p>
    <w:p w14:paraId="440DEA17" w14:textId="77777777" w:rsidR="00906348" w:rsidRDefault="00906348" w:rsidP="00DA72EF">
      <w:pPr>
        <w:rPr>
          <w:b/>
          <w:bCs/>
          <w:i/>
          <w:iCs/>
        </w:rPr>
      </w:pPr>
    </w:p>
    <w:p w14:paraId="4AA60C4D" w14:textId="4D68AEFC" w:rsidR="00DA72EF" w:rsidRPr="00190FDC" w:rsidRDefault="00DA72EF" w:rsidP="00DA72EF">
      <w:pPr>
        <w:rPr>
          <w:b/>
          <w:bCs/>
          <w:i/>
          <w:iCs/>
        </w:rPr>
      </w:pPr>
      <w:r w:rsidRPr="00AE592B">
        <w:rPr>
          <w:b/>
          <w:bCs/>
          <w:i/>
          <w:iCs/>
        </w:rPr>
        <w:t>How these implications will be addressed:</w:t>
      </w:r>
    </w:p>
    <w:p w14:paraId="56C2D9F1" w14:textId="5B3501F9" w:rsidR="00A42E66" w:rsidRPr="00A42E66" w:rsidRDefault="00B11FC7" w:rsidP="399D01E0">
      <w:r>
        <w:t xml:space="preserve">Amendments to </w:t>
      </w:r>
      <w:r w:rsidR="00B97008">
        <w:t>the</w:t>
      </w:r>
      <w:r>
        <w:t xml:space="preserve"> made to the wording of the </w:t>
      </w:r>
      <w:r w:rsidR="2DC2C256">
        <w:t xml:space="preserve">Revised </w:t>
      </w:r>
      <w:r>
        <w:t xml:space="preserve">LDP to </w:t>
      </w:r>
      <w:proofErr w:type="gramStart"/>
      <w:r>
        <w:t>make reference</w:t>
      </w:r>
      <w:proofErr w:type="gramEnd"/>
      <w:r>
        <w:t xml:space="preserve"> to the </w:t>
      </w:r>
      <w:r w:rsidR="00B97008">
        <w:t>acceptability</w:t>
      </w:r>
      <w:r>
        <w:t xml:space="preserve"> of flood consequences criteria set out in chapter 11 and to remove reference to the Justification Test which </w:t>
      </w:r>
      <w:r w:rsidR="00EB329A">
        <w:t>w</w:t>
      </w:r>
      <w:r w:rsidR="00B97008">
        <w:t>as including within the previous TAN15 guidance.</w:t>
      </w:r>
    </w:p>
    <w:p w14:paraId="24F3F17A" w14:textId="77777777" w:rsidR="00906348" w:rsidRDefault="00906348" w:rsidP="00B11BD3">
      <w:pPr>
        <w:pBdr>
          <w:bottom w:val="single" w:sz="12" w:space="1" w:color="auto"/>
        </w:pBdr>
        <w:rPr>
          <w:b/>
          <w:bCs/>
        </w:rPr>
      </w:pPr>
    </w:p>
    <w:p w14:paraId="26415A57" w14:textId="5E3FF66B" w:rsidR="00055147" w:rsidRPr="00A451D3" w:rsidRDefault="00817C9B" w:rsidP="00A451D3">
      <w:pPr>
        <w:pStyle w:val="Heading1"/>
        <w:rPr>
          <w:sz w:val="28"/>
          <w:szCs w:val="28"/>
        </w:rPr>
      </w:pPr>
      <w:r>
        <w:rPr>
          <w:sz w:val="28"/>
          <w:szCs w:val="28"/>
        </w:rPr>
        <w:t xml:space="preserve">TAN15 - Chapter 12. </w:t>
      </w:r>
      <w:r w:rsidR="00A451D3" w:rsidRPr="00A451D3">
        <w:rPr>
          <w:sz w:val="28"/>
          <w:szCs w:val="28"/>
        </w:rPr>
        <w:t xml:space="preserve">Coastal risks – </w:t>
      </w:r>
      <w:r w:rsidR="00A451D3">
        <w:rPr>
          <w:sz w:val="28"/>
          <w:szCs w:val="28"/>
        </w:rPr>
        <w:t>E</w:t>
      </w:r>
      <w:r w:rsidR="00A451D3" w:rsidRPr="00A451D3">
        <w:rPr>
          <w:sz w:val="28"/>
          <w:szCs w:val="28"/>
        </w:rPr>
        <w:t xml:space="preserve">rosion and </w:t>
      </w:r>
      <w:r w:rsidR="00A451D3">
        <w:rPr>
          <w:sz w:val="28"/>
          <w:szCs w:val="28"/>
        </w:rPr>
        <w:t>F</w:t>
      </w:r>
      <w:r w:rsidR="00A451D3" w:rsidRPr="00A451D3">
        <w:rPr>
          <w:sz w:val="28"/>
          <w:szCs w:val="28"/>
        </w:rPr>
        <w:t>looding</w:t>
      </w:r>
    </w:p>
    <w:p w14:paraId="06B88C50" w14:textId="77777777" w:rsidR="00906348" w:rsidRDefault="00A71727" w:rsidP="00906348">
      <w:pPr>
        <w:pStyle w:val="Heading2"/>
      </w:pPr>
      <w:r>
        <w:t xml:space="preserve">Paragraph </w:t>
      </w:r>
      <w:r w:rsidR="00471232" w:rsidRPr="399D01E0">
        <w:t xml:space="preserve">12.6 </w:t>
      </w:r>
    </w:p>
    <w:p w14:paraId="05DB1676" w14:textId="7DE9A053" w:rsidR="00B11BD3" w:rsidRPr="00B11BD3" w:rsidRDefault="00471232" w:rsidP="00B11BD3">
      <w:r>
        <w:t xml:space="preserve"> </w:t>
      </w:r>
      <w:r w:rsidR="00947D25">
        <w:t>‘</w:t>
      </w:r>
      <w:r w:rsidRPr="00947D25">
        <w:rPr>
          <w:i/>
          <w:iCs/>
        </w:rPr>
        <w:t xml:space="preserve">The Development Plan should clearly define coastal areas considered suitable for development </w:t>
      </w:r>
      <w:proofErr w:type="gramStart"/>
      <w:r w:rsidRPr="00947D25">
        <w:rPr>
          <w:i/>
          <w:iCs/>
        </w:rPr>
        <w:t>and also</w:t>
      </w:r>
      <w:proofErr w:type="gramEnd"/>
      <w:r w:rsidRPr="00947D25">
        <w:rPr>
          <w:i/>
          <w:iCs/>
        </w:rPr>
        <w:t xml:space="preserve"> those areas subject to significant constraints</w:t>
      </w:r>
      <w:r w:rsidR="00677EFB" w:rsidRPr="00947D25">
        <w:rPr>
          <w:i/>
          <w:iCs/>
        </w:rPr>
        <w:t xml:space="preserve">.  </w:t>
      </w:r>
      <w:r w:rsidR="00947D25" w:rsidRPr="00947D25">
        <w:rPr>
          <w:i/>
          <w:iCs/>
        </w:rPr>
        <w:t xml:space="preserve">Sites should not be allocated for development where there is a risk of flooding or land instability from coastal erosion over the lifetime of the development. Where a planning authority does allocate coastal land for </w:t>
      </w:r>
      <w:proofErr w:type="gramStart"/>
      <w:r w:rsidR="00947D25" w:rsidRPr="00947D25">
        <w:rPr>
          <w:i/>
          <w:iCs/>
        </w:rPr>
        <w:t>development</w:t>
      </w:r>
      <w:proofErr w:type="gramEnd"/>
      <w:r w:rsidR="00947D25" w:rsidRPr="00947D25">
        <w:rPr>
          <w:i/>
          <w:iCs/>
        </w:rPr>
        <w:t xml:space="preserve"> they should ensure they have adequate information and have considered all relevant technical advice</w:t>
      </w:r>
      <w:r w:rsidR="00947D25">
        <w:t>.’</w:t>
      </w:r>
    </w:p>
    <w:p w14:paraId="75A04F7B" w14:textId="77777777" w:rsidR="004F62F5" w:rsidRPr="00190FDC" w:rsidRDefault="004F62F5" w:rsidP="004F62F5">
      <w:pPr>
        <w:rPr>
          <w:b/>
          <w:bCs/>
          <w:i/>
          <w:iCs/>
        </w:rPr>
      </w:pPr>
      <w:r w:rsidRPr="00AE592B">
        <w:rPr>
          <w:b/>
          <w:bCs/>
          <w:i/>
          <w:iCs/>
        </w:rPr>
        <w:t>How these implications will be addressed:</w:t>
      </w:r>
    </w:p>
    <w:p w14:paraId="29695C23" w14:textId="7A185687" w:rsidR="00196B07" w:rsidRDefault="00D044AA" w:rsidP="399D01E0">
      <w:r>
        <w:t>The Revised LDP contains</w:t>
      </w:r>
      <w:r w:rsidR="002F09FB">
        <w:t xml:space="preserve"> three individual policies </w:t>
      </w:r>
      <w:r w:rsidR="00215B57">
        <w:t>relating to coastal areas</w:t>
      </w:r>
      <w:r w:rsidR="001E1719">
        <w:t xml:space="preserve">, Policies NE5, NE6 and NE7.  </w:t>
      </w:r>
      <w:r w:rsidR="002447D3">
        <w:t>A review of these policies will be undertaken and</w:t>
      </w:r>
      <w:r w:rsidR="00F20BA5">
        <w:t>, where necessary,</w:t>
      </w:r>
      <w:r w:rsidR="002447D3">
        <w:t xml:space="preserve"> any amendment</w:t>
      </w:r>
      <w:r w:rsidR="00F20BA5">
        <w:t>s/updates will be made as matters arising changes</w:t>
      </w:r>
      <w:r w:rsidR="00180F49">
        <w:t xml:space="preserve"> to ensure that the </w:t>
      </w:r>
      <w:r w:rsidR="00180F49">
        <w:lastRenderedPageBreak/>
        <w:t xml:space="preserve">policies </w:t>
      </w:r>
      <w:r w:rsidR="00E06E68">
        <w:t>accord</w:t>
      </w:r>
      <w:r w:rsidR="00180F49">
        <w:t xml:space="preserve"> with the </w:t>
      </w:r>
      <w:r w:rsidR="32231F47">
        <w:t>revised</w:t>
      </w:r>
      <w:r w:rsidR="00180F49">
        <w:t xml:space="preserve"> TAN</w:t>
      </w:r>
      <w:r w:rsidR="03145ADE">
        <w:t>15</w:t>
      </w:r>
      <w:r w:rsidR="00D17191">
        <w:t xml:space="preserve"> – chapter 12 in general</w:t>
      </w:r>
      <w:r w:rsidR="00E1593A">
        <w:t xml:space="preserve"> as well as specific paragraph 12.6.</w:t>
      </w:r>
    </w:p>
    <w:p w14:paraId="49E978E7" w14:textId="77777777" w:rsidR="001762EE" w:rsidRDefault="001762EE" w:rsidP="00B11BD3">
      <w:pPr>
        <w:pBdr>
          <w:bottom w:val="single" w:sz="12" w:space="1" w:color="auto"/>
        </w:pBdr>
        <w:rPr>
          <w:b/>
          <w:bCs/>
        </w:rPr>
      </w:pPr>
    </w:p>
    <w:p w14:paraId="107C65EF" w14:textId="5B55AE56" w:rsidR="00055147" w:rsidRPr="00364CFC" w:rsidRDefault="00817C9B" w:rsidP="00364CFC">
      <w:pPr>
        <w:pStyle w:val="Heading1"/>
        <w:rPr>
          <w:sz w:val="28"/>
          <w:szCs w:val="28"/>
        </w:rPr>
      </w:pPr>
      <w:r w:rsidRPr="00364CFC">
        <w:rPr>
          <w:sz w:val="28"/>
          <w:szCs w:val="28"/>
        </w:rPr>
        <w:t xml:space="preserve">TAN15 – Chapter 15. </w:t>
      </w:r>
      <w:r w:rsidR="00E773AF" w:rsidRPr="00364CFC">
        <w:rPr>
          <w:sz w:val="28"/>
          <w:szCs w:val="28"/>
        </w:rPr>
        <w:t>Further consideration for planning applications</w:t>
      </w:r>
    </w:p>
    <w:p w14:paraId="4F670D47" w14:textId="77777777" w:rsidR="00906348" w:rsidRDefault="00464249" w:rsidP="00906348">
      <w:pPr>
        <w:pStyle w:val="Heading2"/>
      </w:pPr>
      <w:r w:rsidRPr="00FB5ECF">
        <w:t>Paragraph 15.13</w:t>
      </w:r>
      <w:r w:rsidRPr="00464249">
        <w:t xml:space="preserve"> </w:t>
      </w:r>
    </w:p>
    <w:p w14:paraId="5D11985B" w14:textId="6563D723" w:rsidR="00FB5ECF" w:rsidRPr="0033518B" w:rsidRDefault="0033518B" w:rsidP="39B524C6">
      <w:pPr>
        <w:rPr>
          <w:i/>
          <w:iCs/>
        </w:rPr>
      </w:pPr>
      <w:r>
        <w:t>‘</w:t>
      </w:r>
      <w:r w:rsidR="000F674D" w:rsidRPr="39B524C6">
        <w:rPr>
          <w:i/>
          <w:iCs/>
        </w:rPr>
        <w:t>In some circumstances, development may be permitted subject to appropriate mitigation measures or improvements to existing flood defence infrastructure to manage the risk of flooding</w:t>
      </w:r>
      <w:r w:rsidRPr="39B524C6">
        <w:rPr>
          <w:i/>
          <w:iCs/>
        </w:rPr>
        <w:t>’ …</w:t>
      </w:r>
      <w:r w:rsidR="004E6217" w:rsidRPr="39B524C6">
        <w:rPr>
          <w:i/>
          <w:iCs/>
        </w:rPr>
        <w:t>’</w:t>
      </w:r>
      <w:r w:rsidR="000F674D" w:rsidRPr="39B524C6">
        <w:rPr>
          <w:i/>
          <w:iCs/>
        </w:rPr>
        <w:t xml:space="preserve"> Planning authorities should, where necessary, require developers to contribute financially via the Community Infrastructure Levy or enter into an agreement under Section 106 of the Town and Country Planning Act 1990 to ensure the infrastructure improvements can be provided.’</w:t>
      </w:r>
    </w:p>
    <w:p w14:paraId="4C50F1B9" w14:textId="77777777" w:rsidR="004E6217" w:rsidRPr="00190FDC" w:rsidRDefault="004E6217" w:rsidP="004E6217">
      <w:pPr>
        <w:rPr>
          <w:b/>
          <w:bCs/>
          <w:i/>
          <w:iCs/>
        </w:rPr>
      </w:pPr>
      <w:r w:rsidRPr="00AE592B">
        <w:rPr>
          <w:b/>
          <w:bCs/>
          <w:i/>
          <w:iCs/>
        </w:rPr>
        <w:t>How these implications will be addressed:</w:t>
      </w:r>
    </w:p>
    <w:p w14:paraId="5D46CA4F" w14:textId="03013F8E" w:rsidR="00FB5ECF" w:rsidRDefault="00934344" w:rsidP="00464249">
      <w:r>
        <w:t xml:space="preserve">A policy review of the relevant policies will be undertaken </w:t>
      </w:r>
      <w:r w:rsidR="00770FA0">
        <w:t>(the most relevant being INF1 Planning Obligations and CCH5</w:t>
      </w:r>
      <w:r w:rsidR="00785E64">
        <w:t xml:space="preserve"> Fl</w:t>
      </w:r>
      <w:r w:rsidR="00191C5B">
        <w:t>o</w:t>
      </w:r>
      <w:r w:rsidR="00785E64">
        <w:t>od Risk Management and Avoidance</w:t>
      </w:r>
      <w:r w:rsidR="00191C5B">
        <w:t>)</w:t>
      </w:r>
      <w:r w:rsidR="00770FA0">
        <w:t xml:space="preserve"> </w:t>
      </w:r>
      <w:r w:rsidR="000C7B65">
        <w:t>and</w:t>
      </w:r>
      <w:r w:rsidR="00E54A1E">
        <w:t>, where necessary, any amendments/updates will be made to ensure that the policies accord with the Revised TAN</w:t>
      </w:r>
      <w:r w:rsidR="086FC273">
        <w:t>15</w:t>
      </w:r>
      <w:r w:rsidR="00812E2B">
        <w:t xml:space="preserve">  </w:t>
      </w:r>
    </w:p>
    <w:p w14:paraId="70B6AD5B" w14:textId="1BCA3B3D" w:rsidR="00812E2B" w:rsidRDefault="00812E2B" w:rsidP="00464249">
      <w:pPr>
        <w:pBdr>
          <w:bottom w:val="single" w:sz="12" w:space="1" w:color="auto"/>
        </w:pBdr>
      </w:pPr>
      <w:r>
        <w:t xml:space="preserve">In addition, the SPG on </w:t>
      </w:r>
      <w:r w:rsidR="00443FCE">
        <w:t>Planning Obligations will be amended to address</w:t>
      </w:r>
      <w:r w:rsidR="000E1ACB">
        <w:t xml:space="preserve"> the requirements of paragraph 15.13</w:t>
      </w:r>
      <w:r w:rsidR="006E52E5">
        <w:t>, as necessary</w:t>
      </w:r>
      <w:r w:rsidR="000E1ACB">
        <w:t>.</w:t>
      </w:r>
    </w:p>
    <w:p w14:paraId="776E01FE" w14:textId="77777777" w:rsidR="00055147" w:rsidRDefault="00055147" w:rsidP="00464249">
      <w:pPr>
        <w:pBdr>
          <w:bottom w:val="single" w:sz="12" w:space="1" w:color="auto"/>
        </w:pBdr>
      </w:pPr>
    </w:p>
    <w:p w14:paraId="74D063C4" w14:textId="77777777" w:rsidR="00055147" w:rsidRDefault="00055147" w:rsidP="00055147"/>
    <w:p w14:paraId="0B87844D" w14:textId="4DBBAA14" w:rsidR="00DD4817" w:rsidRPr="00C0356F" w:rsidRDefault="00DD4817" w:rsidP="00364CFC">
      <w:pPr>
        <w:pStyle w:val="Heading1"/>
      </w:pPr>
      <w:r w:rsidRPr="00C0356F">
        <w:t>General Point</w:t>
      </w:r>
    </w:p>
    <w:p w14:paraId="17A22854" w14:textId="6417805A" w:rsidR="006B5482" w:rsidRDefault="006B5482" w:rsidP="006B5482">
      <w:r>
        <w:t>Policy CCH5 Flood Risk Management and Avoidance</w:t>
      </w:r>
      <w:r w:rsidR="6331E97E">
        <w:t xml:space="preserve"> as contained within the second Deposit Revised LDP</w:t>
      </w:r>
      <w:r>
        <w:t xml:space="preserve"> uses the term “pluvial”</w:t>
      </w:r>
      <w:r w:rsidR="00A46997">
        <w:t xml:space="preserve">.  This term is </w:t>
      </w:r>
      <w:r>
        <w:t>not used in</w:t>
      </w:r>
      <w:r w:rsidR="00A46997">
        <w:t xml:space="preserve"> the Revised</w:t>
      </w:r>
      <w:r>
        <w:t xml:space="preserve"> TAN</w:t>
      </w:r>
      <w:r w:rsidR="06BBBAA5">
        <w:t>.</w:t>
      </w:r>
      <w:r w:rsidR="00F91471">
        <w:t xml:space="preserve"> </w:t>
      </w:r>
      <w:r w:rsidR="39A1BFB2">
        <w:t>Consequently,</w:t>
      </w:r>
      <w:r w:rsidR="5BA4AB71">
        <w:t xml:space="preserve"> it is</w:t>
      </w:r>
      <w:r w:rsidR="00F91471">
        <w:t xml:space="preserve"> </w:t>
      </w:r>
      <w:r w:rsidR="5E2D3ACF">
        <w:t>proposed</w:t>
      </w:r>
      <w:r w:rsidR="00F91471">
        <w:t xml:space="preserve"> that this term is removed from the policy</w:t>
      </w:r>
      <w:r w:rsidR="006208D8">
        <w:t xml:space="preserve">, </w:t>
      </w:r>
      <w:proofErr w:type="gramStart"/>
      <w:r w:rsidR="006208D8">
        <w:t>in order to</w:t>
      </w:r>
      <w:proofErr w:type="gramEnd"/>
      <w:r w:rsidR="006208D8">
        <w:t xml:space="preserve"> be</w:t>
      </w:r>
      <w:r>
        <w:t xml:space="preserve"> consistent with the </w:t>
      </w:r>
      <w:r w:rsidR="331A4BD2">
        <w:t xml:space="preserve">revised </w:t>
      </w:r>
      <w:r>
        <w:t>TAN</w:t>
      </w:r>
      <w:r w:rsidR="3BBEF0FF">
        <w:t>15</w:t>
      </w:r>
      <w:r w:rsidR="006208D8">
        <w:t>.</w:t>
      </w:r>
    </w:p>
    <w:p w14:paraId="00B0FCD4" w14:textId="77777777" w:rsidR="00C0356F" w:rsidRDefault="00C0356F"/>
    <w:sectPr w:rsidR="00C03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21FEB"/>
    <w:multiLevelType w:val="hybridMultilevel"/>
    <w:tmpl w:val="45F4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52E15"/>
    <w:multiLevelType w:val="multilevel"/>
    <w:tmpl w:val="4700374A"/>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05B850A"/>
    <w:multiLevelType w:val="hybridMultilevel"/>
    <w:tmpl w:val="FFFFFFFF"/>
    <w:lvl w:ilvl="0" w:tplc="CDFE0118">
      <w:start w:val="1"/>
      <w:numFmt w:val="bullet"/>
      <w:lvlText w:val="-"/>
      <w:lvlJc w:val="left"/>
      <w:pPr>
        <w:ind w:left="720" w:hanging="360"/>
      </w:pPr>
      <w:rPr>
        <w:rFonts w:ascii="Aptos" w:hAnsi="Aptos" w:hint="default"/>
      </w:rPr>
    </w:lvl>
    <w:lvl w:ilvl="1" w:tplc="476E93A0">
      <w:start w:val="1"/>
      <w:numFmt w:val="bullet"/>
      <w:lvlText w:val="o"/>
      <w:lvlJc w:val="left"/>
      <w:pPr>
        <w:ind w:left="1440" w:hanging="360"/>
      </w:pPr>
      <w:rPr>
        <w:rFonts w:ascii="Courier New" w:hAnsi="Courier New" w:hint="default"/>
      </w:rPr>
    </w:lvl>
    <w:lvl w:ilvl="2" w:tplc="DF2AF6A8">
      <w:start w:val="1"/>
      <w:numFmt w:val="bullet"/>
      <w:lvlText w:val=""/>
      <w:lvlJc w:val="left"/>
      <w:pPr>
        <w:ind w:left="2160" w:hanging="360"/>
      </w:pPr>
      <w:rPr>
        <w:rFonts w:ascii="Wingdings" w:hAnsi="Wingdings" w:hint="default"/>
      </w:rPr>
    </w:lvl>
    <w:lvl w:ilvl="3" w:tplc="3EE674A6">
      <w:start w:val="1"/>
      <w:numFmt w:val="bullet"/>
      <w:lvlText w:val=""/>
      <w:lvlJc w:val="left"/>
      <w:pPr>
        <w:ind w:left="2880" w:hanging="360"/>
      </w:pPr>
      <w:rPr>
        <w:rFonts w:ascii="Symbol" w:hAnsi="Symbol" w:hint="default"/>
      </w:rPr>
    </w:lvl>
    <w:lvl w:ilvl="4" w:tplc="66C88E0A">
      <w:start w:val="1"/>
      <w:numFmt w:val="bullet"/>
      <w:lvlText w:val="o"/>
      <w:lvlJc w:val="left"/>
      <w:pPr>
        <w:ind w:left="3600" w:hanging="360"/>
      </w:pPr>
      <w:rPr>
        <w:rFonts w:ascii="Courier New" w:hAnsi="Courier New" w:hint="default"/>
      </w:rPr>
    </w:lvl>
    <w:lvl w:ilvl="5" w:tplc="85BAA444">
      <w:start w:val="1"/>
      <w:numFmt w:val="bullet"/>
      <w:lvlText w:val=""/>
      <w:lvlJc w:val="left"/>
      <w:pPr>
        <w:ind w:left="4320" w:hanging="360"/>
      </w:pPr>
      <w:rPr>
        <w:rFonts w:ascii="Wingdings" w:hAnsi="Wingdings" w:hint="default"/>
      </w:rPr>
    </w:lvl>
    <w:lvl w:ilvl="6" w:tplc="70DE6134">
      <w:start w:val="1"/>
      <w:numFmt w:val="bullet"/>
      <w:lvlText w:val=""/>
      <w:lvlJc w:val="left"/>
      <w:pPr>
        <w:ind w:left="5040" w:hanging="360"/>
      </w:pPr>
      <w:rPr>
        <w:rFonts w:ascii="Symbol" w:hAnsi="Symbol" w:hint="default"/>
      </w:rPr>
    </w:lvl>
    <w:lvl w:ilvl="7" w:tplc="9F8A18DC">
      <w:start w:val="1"/>
      <w:numFmt w:val="bullet"/>
      <w:lvlText w:val="o"/>
      <w:lvlJc w:val="left"/>
      <w:pPr>
        <w:ind w:left="5760" w:hanging="360"/>
      </w:pPr>
      <w:rPr>
        <w:rFonts w:ascii="Courier New" w:hAnsi="Courier New" w:hint="default"/>
      </w:rPr>
    </w:lvl>
    <w:lvl w:ilvl="8" w:tplc="F1DADF20">
      <w:start w:val="1"/>
      <w:numFmt w:val="bullet"/>
      <w:lvlText w:val=""/>
      <w:lvlJc w:val="left"/>
      <w:pPr>
        <w:ind w:left="6480" w:hanging="360"/>
      </w:pPr>
      <w:rPr>
        <w:rFonts w:ascii="Wingdings" w:hAnsi="Wingdings" w:hint="default"/>
      </w:rPr>
    </w:lvl>
  </w:abstractNum>
  <w:abstractNum w:abstractNumId="3" w15:restartNumberingAfterBreak="0">
    <w:nsid w:val="31234A3A"/>
    <w:multiLevelType w:val="hybridMultilevel"/>
    <w:tmpl w:val="9C1EB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A0B64"/>
    <w:multiLevelType w:val="hybridMultilevel"/>
    <w:tmpl w:val="23D4C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E30CB9"/>
    <w:multiLevelType w:val="hybridMultilevel"/>
    <w:tmpl w:val="E0B88D26"/>
    <w:lvl w:ilvl="0" w:tplc="18C24894">
      <w:start w:val="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1C37B1"/>
    <w:multiLevelType w:val="hybridMultilevel"/>
    <w:tmpl w:val="8B52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192188">
    <w:abstractNumId w:val="2"/>
  </w:num>
  <w:num w:numId="2" w16cid:durableId="1307665101">
    <w:abstractNumId w:val="5"/>
  </w:num>
  <w:num w:numId="3" w16cid:durableId="473957111">
    <w:abstractNumId w:val="6"/>
  </w:num>
  <w:num w:numId="4" w16cid:durableId="292253803">
    <w:abstractNumId w:val="4"/>
  </w:num>
  <w:num w:numId="5" w16cid:durableId="384909857">
    <w:abstractNumId w:val="1"/>
  </w:num>
  <w:num w:numId="6" w16cid:durableId="1891530556">
    <w:abstractNumId w:val="0"/>
  </w:num>
  <w:num w:numId="7" w16cid:durableId="172644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D3"/>
    <w:rsid w:val="0000065B"/>
    <w:rsid w:val="00001927"/>
    <w:rsid w:val="0000433E"/>
    <w:rsid w:val="00006641"/>
    <w:rsid w:val="00006EC5"/>
    <w:rsid w:val="0001289E"/>
    <w:rsid w:val="000137E4"/>
    <w:rsid w:val="000151F8"/>
    <w:rsid w:val="000159E3"/>
    <w:rsid w:val="00015A55"/>
    <w:rsid w:val="0001607B"/>
    <w:rsid w:val="0002649B"/>
    <w:rsid w:val="00031D19"/>
    <w:rsid w:val="00034147"/>
    <w:rsid w:val="00037583"/>
    <w:rsid w:val="00055147"/>
    <w:rsid w:val="00061B72"/>
    <w:rsid w:val="00061E50"/>
    <w:rsid w:val="00072602"/>
    <w:rsid w:val="00074482"/>
    <w:rsid w:val="00080956"/>
    <w:rsid w:val="0008667E"/>
    <w:rsid w:val="00087A96"/>
    <w:rsid w:val="000947D5"/>
    <w:rsid w:val="000974EB"/>
    <w:rsid w:val="000A0941"/>
    <w:rsid w:val="000A1C2A"/>
    <w:rsid w:val="000A70C7"/>
    <w:rsid w:val="000B22FC"/>
    <w:rsid w:val="000B23C6"/>
    <w:rsid w:val="000B5E8E"/>
    <w:rsid w:val="000C03D2"/>
    <w:rsid w:val="000C1FBA"/>
    <w:rsid w:val="000C5904"/>
    <w:rsid w:val="000C73B0"/>
    <w:rsid w:val="000C7B65"/>
    <w:rsid w:val="000D4081"/>
    <w:rsid w:val="000D65F2"/>
    <w:rsid w:val="000D6CA0"/>
    <w:rsid w:val="000D6D85"/>
    <w:rsid w:val="000E0892"/>
    <w:rsid w:val="000E1ACB"/>
    <w:rsid w:val="000E437F"/>
    <w:rsid w:val="000E5768"/>
    <w:rsid w:val="000E5798"/>
    <w:rsid w:val="000F0841"/>
    <w:rsid w:val="000F1115"/>
    <w:rsid w:val="000F1B7E"/>
    <w:rsid w:val="000F1D80"/>
    <w:rsid w:val="000F4A57"/>
    <w:rsid w:val="000F5EB2"/>
    <w:rsid w:val="000F674D"/>
    <w:rsid w:val="000F6D60"/>
    <w:rsid w:val="000F7BF5"/>
    <w:rsid w:val="00100379"/>
    <w:rsid w:val="001028CC"/>
    <w:rsid w:val="0010298A"/>
    <w:rsid w:val="00104B60"/>
    <w:rsid w:val="001068D3"/>
    <w:rsid w:val="00107EC9"/>
    <w:rsid w:val="00115161"/>
    <w:rsid w:val="00116238"/>
    <w:rsid w:val="001167D7"/>
    <w:rsid w:val="0011715C"/>
    <w:rsid w:val="0012148B"/>
    <w:rsid w:val="0012346B"/>
    <w:rsid w:val="00124593"/>
    <w:rsid w:val="00136C0B"/>
    <w:rsid w:val="00137E95"/>
    <w:rsid w:val="001403D6"/>
    <w:rsid w:val="0014384E"/>
    <w:rsid w:val="00152C70"/>
    <w:rsid w:val="001530AA"/>
    <w:rsid w:val="00154451"/>
    <w:rsid w:val="00154FB7"/>
    <w:rsid w:val="00156D5F"/>
    <w:rsid w:val="00157B2D"/>
    <w:rsid w:val="00160E84"/>
    <w:rsid w:val="00162360"/>
    <w:rsid w:val="00162717"/>
    <w:rsid w:val="0016557A"/>
    <w:rsid w:val="001669F2"/>
    <w:rsid w:val="00170110"/>
    <w:rsid w:val="00170D16"/>
    <w:rsid w:val="00171921"/>
    <w:rsid w:val="00172035"/>
    <w:rsid w:val="00173218"/>
    <w:rsid w:val="001762EE"/>
    <w:rsid w:val="00180138"/>
    <w:rsid w:val="00180F49"/>
    <w:rsid w:val="00181518"/>
    <w:rsid w:val="0018567F"/>
    <w:rsid w:val="0018607C"/>
    <w:rsid w:val="00187FE2"/>
    <w:rsid w:val="00190FDC"/>
    <w:rsid w:val="00191C5B"/>
    <w:rsid w:val="001958C9"/>
    <w:rsid w:val="00196B07"/>
    <w:rsid w:val="001A0C48"/>
    <w:rsid w:val="001A160C"/>
    <w:rsid w:val="001A3A6C"/>
    <w:rsid w:val="001A4EBF"/>
    <w:rsid w:val="001A50F6"/>
    <w:rsid w:val="001A696A"/>
    <w:rsid w:val="001A69DF"/>
    <w:rsid w:val="001B1B27"/>
    <w:rsid w:val="001B3BF9"/>
    <w:rsid w:val="001B509A"/>
    <w:rsid w:val="001B6242"/>
    <w:rsid w:val="001C0395"/>
    <w:rsid w:val="001C661E"/>
    <w:rsid w:val="001D105B"/>
    <w:rsid w:val="001D1574"/>
    <w:rsid w:val="001D6570"/>
    <w:rsid w:val="001E1236"/>
    <w:rsid w:val="001E1719"/>
    <w:rsid w:val="001F03AF"/>
    <w:rsid w:val="001F132E"/>
    <w:rsid w:val="001F14E1"/>
    <w:rsid w:val="001F7F95"/>
    <w:rsid w:val="00200252"/>
    <w:rsid w:val="0020101E"/>
    <w:rsid w:val="00201EFE"/>
    <w:rsid w:val="00202067"/>
    <w:rsid w:val="00205603"/>
    <w:rsid w:val="002101EC"/>
    <w:rsid w:val="00210387"/>
    <w:rsid w:val="00210A42"/>
    <w:rsid w:val="00213802"/>
    <w:rsid w:val="00215B57"/>
    <w:rsid w:val="00216E02"/>
    <w:rsid w:val="00216E3D"/>
    <w:rsid w:val="0022474C"/>
    <w:rsid w:val="00232935"/>
    <w:rsid w:val="00232C5C"/>
    <w:rsid w:val="00236611"/>
    <w:rsid w:val="002371C4"/>
    <w:rsid w:val="00241C0F"/>
    <w:rsid w:val="00241F25"/>
    <w:rsid w:val="002447D3"/>
    <w:rsid w:val="00245D9A"/>
    <w:rsid w:val="00246AED"/>
    <w:rsid w:val="00246E48"/>
    <w:rsid w:val="0024791F"/>
    <w:rsid w:val="0025173B"/>
    <w:rsid w:val="00252B9F"/>
    <w:rsid w:val="00256D06"/>
    <w:rsid w:val="002572A6"/>
    <w:rsid w:val="00257F90"/>
    <w:rsid w:val="0026000C"/>
    <w:rsid w:val="00267298"/>
    <w:rsid w:val="00267749"/>
    <w:rsid w:val="0027348D"/>
    <w:rsid w:val="002746C4"/>
    <w:rsid w:val="00277E2B"/>
    <w:rsid w:val="00281643"/>
    <w:rsid w:val="00281DEC"/>
    <w:rsid w:val="00283A06"/>
    <w:rsid w:val="002846F0"/>
    <w:rsid w:val="00286449"/>
    <w:rsid w:val="00290DC7"/>
    <w:rsid w:val="00293C2E"/>
    <w:rsid w:val="00293E24"/>
    <w:rsid w:val="002946DA"/>
    <w:rsid w:val="00297C40"/>
    <w:rsid w:val="00297F57"/>
    <w:rsid w:val="002A057D"/>
    <w:rsid w:val="002A0CD6"/>
    <w:rsid w:val="002A194C"/>
    <w:rsid w:val="002A357E"/>
    <w:rsid w:val="002A58A9"/>
    <w:rsid w:val="002A593A"/>
    <w:rsid w:val="002A61C7"/>
    <w:rsid w:val="002A681E"/>
    <w:rsid w:val="002B0F56"/>
    <w:rsid w:val="002B278F"/>
    <w:rsid w:val="002B3842"/>
    <w:rsid w:val="002B3C7E"/>
    <w:rsid w:val="002B4CFD"/>
    <w:rsid w:val="002B7104"/>
    <w:rsid w:val="002C153E"/>
    <w:rsid w:val="002C3868"/>
    <w:rsid w:val="002C4BDD"/>
    <w:rsid w:val="002C4E48"/>
    <w:rsid w:val="002D0620"/>
    <w:rsid w:val="002D2371"/>
    <w:rsid w:val="002D3953"/>
    <w:rsid w:val="002D4895"/>
    <w:rsid w:val="002D4A0A"/>
    <w:rsid w:val="002D66BA"/>
    <w:rsid w:val="002D6D38"/>
    <w:rsid w:val="002D7491"/>
    <w:rsid w:val="002D7DF7"/>
    <w:rsid w:val="002E101D"/>
    <w:rsid w:val="002E57B0"/>
    <w:rsid w:val="002E5B58"/>
    <w:rsid w:val="002F09FB"/>
    <w:rsid w:val="002F0DCA"/>
    <w:rsid w:val="00303BF1"/>
    <w:rsid w:val="003058BA"/>
    <w:rsid w:val="00306A5A"/>
    <w:rsid w:val="0030782E"/>
    <w:rsid w:val="003106C6"/>
    <w:rsid w:val="0031353D"/>
    <w:rsid w:val="00314F94"/>
    <w:rsid w:val="003164A6"/>
    <w:rsid w:val="00317418"/>
    <w:rsid w:val="003203E8"/>
    <w:rsid w:val="003234DE"/>
    <w:rsid w:val="0033518B"/>
    <w:rsid w:val="00337A07"/>
    <w:rsid w:val="0034113E"/>
    <w:rsid w:val="00341F06"/>
    <w:rsid w:val="00344A9C"/>
    <w:rsid w:val="0034778A"/>
    <w:rsid w:val="003507C0"/>
    <w:rsid w:val="00354406"/>
    <w:rsid w:val="00354CBE"/>
    <w:rsid w:val="00357037"/>
    <w:rsid w:val="0036377E"/>
    <w:rsid w:val="00363CD1"/>
    <w:rsid w:val="00364CFC"/>
    <w:rsid w:val="00365E95"/>
    <w:rsid w:val="00370EBA"/>
    <w:rsid w:val="003760C2"/>
    <w:rsid w:val="003813BE"/>
    <w:rsid w:val="00390417"/>
    <w:rsid w:val="003908DC"/>
    <w:rsid w:val="003971CB"/>
    <w:rsid w:val="003A05FF"/>
    <w:rsid w:val="003A2667"/>
    <w:rsid w:val="003A38B0"/>
    <w:rsid w:val="003A46BE"/>
    <w:rsid w:val="003A4C5C"/>
    <w:rsid w:val="003A673D"/>
    <w:rsid w:val="003B0505"/>
    <w:rsid w:val="003B0EC0"/>
    <w:rsid w:val="003B3775"/>
    <w:rsid w:val="003B473C"/>
    <w:rsid w:val="003C2BC0"/>
    <w:rsid w:val="003C72CC"/>
    <w:rsid w:val="003D1D3D"/>
    <w:rsid w:val="003D6214"/>
    <w:rsid w:val="003D74FC"/>
    <w:rsid w:val="003E1E87"/>
    <w:rsid w:val="003E210B"/>
    <w:rsid w:val="003E3CBC"/>
    <w:rsid w:val="003E56F4"/>
    <w:rsid w:val="003E6F7B"/>
    <w:rsid w:val="003E6FE0"/>
    <w:rsid w:val="003F259F"/>
    <w:rsid w:val="003F4C2C"/>
    <w:rsid w:val="003F5D75"/>
    <w:rsid w:val="003F6BD6"/>
    <w:rsid w:val="004012F9"/>
    <w:rsid w:val="00405C2D"/>
    <w:rsid w:val="00405C97"/>
    <w:rsid w:val="00412B07"/>
    <w:rsid w:val="00414BA0"/>
    <w:rsid w:val="00416FAD"/>
    <w:rsid w:val="00420D0E"/>
    <w:rsid w:val="00421988"/>
    <w:rsid w:val="00421D7C"/>
    <w:rsid w:val="00421E85"/>
    <w:rsid w:val="00424B4B"/>
    <w:rsid w:val="00426333"/>
    <w:rsid w:val="004265F6"/>
    <w:rsid w:val="00430F96"/>
    <w:rsid w:val="0043315A"/>
    <w:rsid w:val="00435862"/>
    <w:rsid w:val="00443FCE"/>
    <w:rsid w:val="004503B3"/>
    <w:rsid w:val="004513D2"/>
    <w:rsid w:val="00451539"/>
    <w:rsid w:val="0045240A"/>
    <w:rsid w:val="00454BD7"/>
    <w:rsid w:val="004554EA"/>
    <w:rsid w:val="004571E7"/>
    <w:rsid w:val="0046119D"/>
    <w:rsid w:val="0046158A"/>
    <w:rsid w:val="00464249"/>
    <w:rsid w:val="00466CD0"/>
    <w:rsid w:val="004706DA"/>
    <w:rsid w:val="00471232"/>
    <w:rsid w:val="00471670"/>
    <w:rsid w:val="0047321F"/>
    <w:rsid w:val="00473BBD"/>
    <w:rsid w:val="00474C8D"/>
    <w:rsid w:val="00475787"/>
    <w:rsid w:val="00475ACD"/>
    <w:rsid w:val="00480319"/>
    <w:rsid w:val="00481B37"/>
    <w:rsid w:val="00482C2E"/>
    <w:rsid w:val="00483A9F"/>
    <w:rsid w:val="00484340"/>
    <w:rsid w:val="0048799E"/>
    <w:rsid w:val="004879A3"/>
    <w:rsid w:val="00490B29"/>
    <w:rsid w:val="00494A23"/>
    <w:rsid w:val="004979C9"/>
    <w:rsid w:val="004A02B5"/>
    <w:rsid w:val="004A0D55"/>
    <w:rsid w:val="004A0E66"/>
    <w:rsid w:val="004A0ED2"/>
    <w:rsid w:val="004A394C"/>
    <w:rsid w:val="004A6974"/>
    <w:rsid w:val="004A78B7"/>
    <w:rsid w:val="004B000E"/>
    <w:rsid w:val="004B2189"/>
    <w:rsid w:val="004B3F12"/>
    <w:rsid w:val="004B4A04"/>
    <w:rsid w:val="004B5BC1"/>
    <w:rsid w:val="004B73EB"/>
    <w:rsid w:val="004C208B"/>
    <w:rsid w:val="004C2A3A"/>
    <w:rsid w:val="004C7A2D"/>
    <w:rsid w:val="004D08CF"/>
    <w:rsid w:val="004D1727"/>
    <w:rsid w:val="004D3BB4"/>
    <w:rsid w:val="004D3CA7"/>
    <w:rsid w:val="004D5EB8"/>
    <w:rsid w:val="004D7CE1"/>
    <w:rsid w:val="004E43CA"/>
    <w:rsid w:val="004E4FCB"/>
    <w:rsid w:val="004E6217"/>
    <w:rsid w:val="004F62F5"/>
    <w:rsid w:val="00502BA7"/>
    <w:rsid w:val="00504FFB"/>
    <w:rsid w:val="005055E8"/>
    <w:rsid w:val="00506040"/>
    <w:rsid w:val="0051210D"/>
    <w:rsid w:val="0052396C"/>
    <w:rsid w:val="0052517F"/>
    <w:rsid w:val="005336AD"/>
    <w:rsid w:val="00533B1B"/>
    <w:rsid w:val="00537E77"/>
    <w:rsid w:val="00540201"/>
    <w:rsid w:val="00540B2B"/>
    <w:rsid w:val="0054129A"/>
    <w:rsid w:val="005418E8"/>
    <w:rsid w:val="00542623"/>
    <w:rsid w:val="005433EF"/>
    <w:rsid w:val="005436AE"/>
    <w:rsid w:val="00543A8E"/>
    <w:rsid w:val="00543D77"/>
    <w:rsid w:val="005446F6"/>
    <w:rsid w:val="00544F54"/>
    <w:rsid w:val="005515AF"/>
    <w:rsid w:val="0055162D"/>
    <w:rsid w:val="00551DC0"/>
    <w:rsid w:val="005525E4"/>
    <w:rsid w:val="00553D01"/>
    <w:rsid w:val="0056190F"/>
    <w:rsid w:val="00563676"/>
    <w:rsid w:val="00565CFF"/>
    <w:rsid w:val="00570966"/>
    <w:rsid w:val="00572879"/>
    <w:rsid w:val="00575427"/>
    <w:rsid w:val="00575E94"/>
    <w:rsid w:val="00576371"/>
    <w:rsid w:val="00576B09"/>
    <w:rsid w:val="005827B5"/>
    <w:rsid w:val="0058293B"/>
    <w:rsid w:val="00582A8A"/>
    <w:rsid w:val="005831DE"/>
    <w:rsid w:val="005926AB"/>
    <w:rsid w:val="00594829"/>
    <w:rsid w:val="00595F0C"/>
    <w:rsid w:val="00597129"/>
    <w:rsid w:val="005A03FA"/>
    <w:rsid w:val="005A3C00"/>
    <w:rsid w:val="005A6E8C"/>
    <w:rsid w:val="005B1A9C"/>
    <w:rsid w:val="005B34E3"/>
    <w:rsid w:val="005B5AF1"/>
    <w:rsid w:val="005B6461"/>
    <w:rsid w:val="005C1481"/>
    <w:rsid w:val="005C4C26"/>
    <w:rsid w:val="005C51BB"/>
    <w:rsid w:val="005C5B0B"/>
    <w:rsid w:val="005C6243"/>
    <w:rsid w:val="005D1CFE"/>
    <w:rsid w:val="005D3730"/>
    <w:rsid w:val="005D4542"/>
    <w:rsid w:val="005D5F8C"/>
    <w:rsid w:val="005D639D"/>
    <w:rsid w:val="005E0329"/>
    <w:rsid w:val="005E2316"/>
    <w:rsid w:val="005E2CF8"/>
    <w:rsid w:val="005E3972"/>
    <w:rsid w:val="005E5860"/>
    <w:rsid w:val="005F108A"/>
    <w:rsid w:val="005F3BEF"/>
    <w:rsid w:val="005F4122"/>
    <w:rsid w:val="00604CBF"/>
    <w:rsid w:val="00607BA5"/>
    <w:rsid w:val="0061027F"/>
    <w:rsid w:val="00610F97"/>
    <w:rsid w:val="0061450A"/>
    <w:rsid w:val="00615BF5"/>
    <w:rsid w:val="006208D8"/>
    <w:rsid w:val="0062409A"/>
    <w:rsid w:val="0062533A"/>
    <w:rsid w:val="00625503"/>
    <w:rsid w:val="00625F6C"/>
    <w:rsid w:val="00627114"/>
    <w:rsid w:val="006305C8"/>
    <w:rsid w:val="00635206"/>
    <w:rsid w:val="00636C0C"/>
    <w:rsid w:val="00641210"/>
    <w:rsid w:val="00641EB6"/>
    <w:rsid w:val="00643D47"/>
    <w:rsid w:val="006444D9"/>
    <w:rsid w:val="0064628E"/>
    <w:rsid w:val="00654E22"/>
    <w:rsid w:val="006557DD"/>
    <w:rsid w:val="00657985"/>
    <w:rsid w:val="006601C9"/>
    <w:rsid w:val="006624CB"/>
    <w:rsid w:val="00665313"/>
    <w:rsid w:val="00665A5F"/>
    <w:rsid w:val="00666745"/>
    <w:rsid w:val="0067238C"/>
    <w:rsid w:val="00672BA1"/>
    <w:rsid w:val="00676791"/>
    <w:rsid w:val="00677EFB"/>
    <w:rsid w:val="0068144A"/>
    <w:rsid w:val="006815A8"/>
    <w:rsid w:val="00683A7B"/>
    <w:rsid w:val="006852FB"/>
    <w:rsid w:val="00686041"/>
    <w:rsid w:val="0068766A"/>
    <w:rsid w:val="0068783C"/>
    <w:rsid w:val="00690724"/>
    <w:rsid w:val="00692368"/>
    <w:rsid w:val="00692AC5"/>
    <w:rsid w:val="00692BBC"/>
    <w:rsid w:val="00695ECE"/>
    <w:rsid w:val="00697048"/>
    <w:rsid w:val="006A67FD"/>
    <w:rsid w:val="006A778D"/>
    <w:rsid w:val="006B0E86"/>
    <w:rsid w:val="006B4C33"/>
    <w:rsid w:val="006B5482"/>
    <w:rsid w:val="006B6245"/>
    <w:rsid w:val="006B748A"/>
    <w:rsid w:val="006B786E"/>
    <w:rsid w:val="006C3DF8"/>
    <w:rsid w:val="006C3E56"/>
    <w:rsid w:val="006D1339"/>
    <w:rsid w:val="006D41B6"/>
    <w:rsid w:val="006D47EF"/>
    <w:rsid w:val="006D6232"/>
    <w:rsid w:val="006D7172"/>
    <w:rsid w:val="006DD8F1"/>
    <w:rsid w:val="006E1A03"/>
    <w:rsid w:val="006E52E5"/>
    <w:rsid w:val="006E6B87"/>
    <w:rsid w:val="006E6FC8"/>
    <w:rsid w:val="006F4B28"/>
    <w:rsid w:val="006F4E46"/>
    <w:rsid w:val="00700727"/>
    <w:rsid w:val="0070095E"/>
    <w:rsid w:val="00700CC1"/>
    <w:rsid w:val="00700FDF"/>
    <w:rsid w:val="00701B62"/>
    <w:rsid w:val="00702987"/>
    <w:rsid w:val="00704E43"/>
    <w:rsid w:val="007054F9"/>
    <w:rsid w:val="007061BD"/>
    <w:rsid w:val="00706AA1"/>
    <w:rsid w:val="007102F0"/>
    <w:rsid w:val="007112AF"/>
    <w:rsid w:val="007156BB"/>
    <w:rsid w:val="00720D5F"/>
    <w:rsid w:val="00725BA5"/>
    <w:rsid w:val="00727527"/>
    <w:rsid w:val="00727AFC"/>
    <w:rsid w:val="00731F11"/>
    <w:rsid w:val="00733DA6"/>
    <w:rsid w:val="00740C81"/>
    <w:rsid w:val="00741AAF"/>
    <w:rsid w:val="007427B2"/>
    <w:rsid w:val="007444A4"/>
    <w:rsid w:val="00744611"/>
    <w:rsid w:val="00744C7D"/>
    <w:rsid w:val="00745687"/>
    <w:rsid w:val="00754B15"/>
    <w:rsid w:val="00754B91"/>
    <w:rsid w:val="007552C3"/>
    <w:rsid w:val="00756CBC"/>
    <w:rsid w:val="00761262"/>
    <w:rsid w:val="007625D7"/>
    <w:rsid w:val="00762962"/>
    <w:rsid w:val="00764A97"/>
    <w:rsid w:val="007662D0"/>
    <w:rsid w:val="00766580"/>
    <w:rsid w:val="00770AAF"/>
    <w:rsid w:val="00770FA0"/>
    <w:rsid w:val="00772694"/>
    <w:rsid w:val="007726A6"/>
    <w:rsid w:val="00775992"/>
    <w:rsid w:val="00776CD2"/>
    <w:rsid w:val="00784154"/>
    <w:rsid w:val="007851FA"/>
    <w:rsid w:val="00785E64"/>
    <w:rsid w:val="0078750A"/>
    <w:rsid w:val="007904FC"/>
    <w:rsid w:val="00791E7F"/>
    <w:rsid w:val="00792235"/>
    <w:rsid w:val="007949A4"/>
    <w:rsid w:val="00796FD3"/>
    <w:rsid w:val="007A10FB"/>
    <w:rsid w:val="007B45D9"/>
    <w:rsid w:val="007C2327"/>
    <w:rsid w:val="007C577A"/>
    <w:rsid w:val="007C7BB7"/>
    <w:rsid w:val="007D17EB"/>
    <w:rsid w:val="007D2AF1"/>
    <w:rsid w:val="007D3EE9"/>
    <w:rsid w:val="007D579A"/>
    <w:rsid w:val="007E1F45"/>
    <w:rsid w:val="007E258A"/>
    <w:rsid w:val="007E6168"/>
    <w:rsid w:val="007F2D99"/>
    <w:rsid w:val="007F79BA"/>
    <w:rsid w:val="008018D9"/>
    <w:rsid w:val="00802AD3"/>
    <w:rsid w:val="008039E1"/>
    <w:rsid w:val="008048A3"/>
    <w:rsid w:val="008065E6"/>
    <w:rsid w:val="0080737B"/>
    <w:rsid w:val="008115AE"/>
    <w:rsid w:val="00812E2B"/>
    <w:rsid w:val="00812F7B"/>
    <w:rsid w:val="0081369E"/>
    <w:rsid w:val="00817C9B"/>
    <w:rsid w:val="00821AE3"/>
    <w:rsid w:val="008224B9"/>
    <w:rsid w:val="0082264D"/>
    <w:rsid w:val="008242BA"/>
    <w:rsid w:val="00824EE7"/>
    <w:rsid w:val="00825E45"/>
    <w:rsid w:val="00826F79"/>
    <w:rsid w:val="00831E3F"/>
    <w:rsid w:val="008329D6"/>
    <w:rsid w:val="00832A3A"/>
    <w:rsid w:val="00832B27"/>
    <w:rsid w:val="00832ECE"/>
    <w:rsid w:val="00833E40"/>
    <w:rsid w:val="0083526A"/>
    <w:rsid w:val="00835D44"/>
    <w:rsid w:val="00837B4E"/>
    <w:rsid w:val="00844A6B"/>
    <w:rsid w:val="00846F35"/>
    <w:rsid w:val="00851E43"/>
    <w:rsid w:val="00853127"/>
    <w:rsid w:val="0086312B"/>
    <w:rsid w:val="008668D1"/>
    <w:rsid w:val="0087218A"/>
    <w:rsid w:val="00872970"/>
    <w:rsid w:val="008763A5"/>
    <w:rsid w:val="008823ED"/>
    <w:rsid w:val="00884455"/>
    <w:rsid w:val="008860FB"/>
    <w:rsid w:val="008913C3"/>
    <w:rsid w:val="008953EF"/>
    <w:rsid w:val="00896993"/>
    <w:rsid w:val="008970A6"/>
    <w:rsid w:val="008A0ED6"/>
    <w:rsid w:val="008A1BD8"/>
    <w:rsid w:val="008A1C35"/>
    <w:rsid w:val="008A5DA8"/>
    <w:rsid w:val="008A6FB4"/>
    <w:rsid w:val="008B464D"/>
    <w:rsid w:val="008B7AD1"/>
    <w:rsid w:val="008C4A45"/>
    <w:rsid w:val="008C52F3"/>
    <w:rsid w:val="008D3573"/>
    <w:rsid w:val="008D37B0"/>
    <w:rsid w:val="008D733F"/>
    <w:rsid w:val="008E027E"/>
    <w:rsid w:val="008E0AA6"/>
    <w:rsid w:val="008E6554"/>
    <w:rsid w:val="008F3080"/>
    <w:rsid w:val="008F6031"/>
    <w:rsid w:val="0090007D"/>
    <w:rsid w:val="00900A91"/>
    <w:rsid w:val="00900CA0"/>
    <w:rsid w:val="00903930"/>
    <w:rsid w:val="00903BE2"/>
    <w:rsid w:val="00906348"/>
    <w:rsid w:val="009072AC"/>
    <w:rsid w:val="0091062E"/>
    <w:rsid w:val="00914CC4"/>
    <w:rsid w:val="00915A48"/>
    <w:rsid w:val="009202A4"/>
    <w:rsid w:val="00923D06"/>
    <w:rsid w:val="009244D4"/>
    <w:rsid w:val="00927ADF"/>
    <w:rsid w:val="009310E2"/>
    <w:rsid w:val="00934151"/>
    <w:rsid w:val="00934344"/>
    <w:rsid w:val="00943481"/>
    <w:rsid w:val="00943B2D"/>
    <w:rsid w:val="00945AA4"/>
    <w:rsid w:val="00946322"/>
    <w:rsid w:val="009464E6"/>
    <w:rsid w:val="00946760"/>
    <w:rsid w:val="009469B6"/>
    <w:rsid w:val="00947D25"/>
    <w:rsid w:val="00950B11"/>
    <w:rsid w:val="00953E6B"/>
    <w:rsid w:val="009576CB"/>
    <w:rsid w:val="009577AB"/>
    <w:rsid w:val="009603B7"/>
    <w:rsid w:val="009604CA"/>
    <w:rsid w:val="009615CA"/>
    <w:rsid w:val="0096256C"/>
    <w:rsid w:val="00964E58"/>
    <w:rsid w:val="00967A5C"/>
    <w:rsid w:val="00971830"/>
    <w:rsid w:val="00972DDE"/>
    <w:rsid w:val="00973786"/>
    <w:rsid w:val="00974738"/>
    <w:rsid w:val="009800A1"/>
    <w:rsid w:val="00980E8E"/>
    <w:rsid w:val="00981A61"/>
    <w:rsid w:val="0098377F"/>
    <w:rsid w:val="0098387A"/>
    <w:rsid w:val="00983979"/>
    <w:rsid w:val="00985440"/>
    <w:rsid w:val="00986608"/>
    <w:rsid w:val="00986769"/>
    <w:rsid w:val="009938E2"/>
    <w:rsid w:val="00994B10"/>
    <w:rsid w:val="00995056"/>
    <w:rsid w:val="00996411"/>
    <w:rsid w:val="00996C44"/>
    <w:rsid w:val="00997333"/>
    <w:rsid w:val="00997E20"/>
    <w:rsid w:val="009A0B8E"/>
    <w:rsid w:val="009A30CB"/>
    <w:rsid w:val="009A3925"/>
    <w:rsid w:val="009A3A49"/>
    <w:rsid w:val="009A46FD"/>
    <w:rsid w:val="009B1103"/>
    <w:rsid w:val="009B716E"/>
    <w:rsid w:val="009B7B14"/>
    <w:rsid w:val="009C0ABE"/>
    <w:rsid w:val="009C1A01"/>
    <w:rsid w:val="009C4A5C"/>
    <w:rsid w:val="009C7162"/>
    <w:rsid w:val="009D001A"/>
    <w:rsid w:val="009D173D"/>
    <w:rsid w:val="009D2E7A"/>
    <w:rsid w:val="009D3070"/>
    <w:rsid w:val="009D6BBB"/>
    <w:rsid w:val="009E0B66"/>
    <w:rsid w:val="009E2245"/>
    <w:rsid w:val="009E2448"/>
    <w:rsid w:val="009E4139"/>
    <w:rsid w:val="009E626A"/>
    <w:rsid w:val="009F0965"/>
    <w:rsid w:val="009F0B1E"/>
    <w:rsid w:val="009F0C8D"/>
    <w:rsid w:val="009F3DD1"/>
    <w:rsid w:val="009F5E91"/>
    <w:rsid w:val="00A00990"/>
    <w:rsid w:val="00A00C07"/>
    <w:rsid w:val="00A0562F"/>
    <w:rsid w:val="00A05E5C"/>
    <w:rsid w:val="00A06506"/>
    <w:rsid w:val="00A1015B"/>
    <w:rsid w:val="00A13A32"/>
    <w:rsid w:val="00A14454"/>
    <w:rsid w:val="00A158F5"/>
    <w:rsid w:val="00A17CA4"/>
    <w:rsid w:val="00A17F54"/>
    <w:rsid w:val="00A21626"/>
    <w:rsid w:val="00A218E9"/>
    <w:rsid w:val="00A26093"/>
    <w:rsid w:val="00A26A59"/>
    <w:rsid w:val="00A308A2"/>
    <w:rsid w:val="00A30AC1"/>
    <w:rsid w:val="00A32F76"/>
    <w:rsid w:val="00A35241"/>
    <w:rsid w:val="00A357B3"/>
    <w:rsid w:val="00A36B15"/>
    <w:rsid w:val="00A409ED"/>
    <w:rsid w:val="00A4108A"/>
    <w:rsid w:val="00A4196E"/>
    <w:rsid w:val="00A42E66"/>
    <w:rsid w:val="00A43FF4"/>
    <w:rsid w:val="00A4424F"/>
    <w:rsid w:val="00A451D3"/>
    <w:rsid w:val="00A46997"/>
    <w:rsid w:val="00A47562"/>
    <w:rsid w:val="00A524F4"/>
    <w:rsid w:val="00A55D3A"/>
    <w:rsid w:val="00A6358D"/>
    <w:rsid w:val="00A6478F"/>
    <w:rsid w:val="00A662C7"/>
    <w:rsid w:val="00A66BEA"/>
    <w:rsid w:val="00A67A53"/>
    <w:rsid w:val="00A70805"/>
    <w:rsid w:val="00A71727"/>
    <w:rsid w:val="00A72A21"/>
    <w:rsid w:val="00A7418D"/>
    <w:rsid w:val="00A74A02"/>
    <w:rsid w:val="00A774EB"/>
    <w:rsid w:val="00A776C7"/>
    <w:rsid w:val="00A84140"/>
    <w:rsid w:val="00A9113B"/>
    <w:rsid w:val="00A9214D"/>
    <w:rsid w:val="00A94E5B"/>
    <w:rsid w:val="00AA2D84"/>
    <w:rsid w:val="00AA4DBF"/>
    <w:rsid w:val="00AA6DB9"/>
    <w:rsid w:val="00AA6FCD"/>
    <w:rsid w:val="00AA7011"/>
    <w:rsid w:val="00AB14FD"/>
    <w:rsid w:val="00AB3D09"/>
    <w:rsid w:val="00AB4DF4"/>
    <w:rsid w:val="00AC0FC2"/>
    <w:rsid w:val="00AC1800"/>
    <w:rsid w:val="00AC2CF9"/>
    <w:rsid w:val="00AC6341"/>
    <w:rsid w:val="00AD23F4"/>
    <w:rsid w:val="00AD2D58"/>
    <w:rsid w:val="00AD5A6F"/>
    <w:rsid w:val="00AD5F43"/>
    <w:rsid w:val="00AE12AC"/>
    <w:rsid w:val="00AE4041"/>
    <w:rsid w:val="00AE533E"/>
    <w:rsid w:val="00AE592B"/>
    <w:rsid w:val="00AE5EAE"/>
    <w:rsid w:val="00AE6EC6"/>
    <w:rsid w:val="00AF163A"/>
    <w:rsid w:val="00AF2B1B"/>
    <w:rsid w:val="00AF5D43"/>
    <w:rsid w:val="00AF5E7E"/>
    <w:rsid w:val="00AF688E"/>
    <w:rsid w:val="00B01337"/>
    <w:rsid w:val="00B028CA"/>
    <w:rsid w:val="00B0329F"/>
    <w:rsid w:val="00B04883"/>
    <w:rsid w:val="00B052E0"/>
    <w:rsid w:val="00B10B7A"/>
    <w:rsid w:val="00B10EF4"/>
    <w:rsid w:val="00B111A1"/>
    <w:rsid w:val="00B11BD3"/>
    <w:rsid w:val="00B11FC7"/>
    <w:rsid w:val="00B139CE"/>
    <w:rsid w:val="00B142B8"/>
    <w:rsid w:val="00B21CB0"/>
    <w:rsid w:val="00B25136"/>
    <w:rsid w:val="00B26260"/>
    <w:rsid w:val="00B265C5"/>
    <w:rsid w:val="00B31980"/>
    <w:rsid w:val="00B33FCE"/>
    <w:rsid w:val="00B34FA1"/>
    <w:rsid w:val="00B35E16"/>
    <w:rsid w:val="00B4549F"/>
    <w:rsid w:val="00B454B2"/>
    <w:rsid w:val="00B46EE8"/>
    <w:rsid w:val="00B52CB2"/>
    <w:rsid w:val="00B5489D"/>
    <w:rsid w:val="00B56430"/>
    <w:rsid w:val="00B62C6E"/>
    <w:rsid w:val="00B644B2"/>
    <w:rsid w:val="00B64C0C"/>
    <w:rsid w:val="00B70570"/>
    <w:rsid w:val="00B71B6E"/>
    <w:rsid w:val="00B73C69"/>
    <w:rsid w:val="00B8111F"/>
    <w:rsid w:val="00B81737"/>
    <w:rsid w:val="00B8EDED"/>
    <w:rsid w:val="00B9615B"/>
    <w:rsid w:val="00B97008"/>
    <w:rsid w:val="00BA3B37"/>
    <w:rsid w:val="00BA4C53"/>
    <w:rsid w:val="00BB03C0"/>
    <w:rsid w:val="00BB3D1E"/>
    <w:rsid w:val="00BB3DCB"/>
    <w:rsid w:val="00BC0484"/>
    <w:rsid w:val="00BC14E5"/>
    <w:rsid w:val="00BC1BAE"/>
    <w:rsid w:val="00BC2CDE"/>
    <w:rsid w:val="00BC3061"/>
    <w:rsid w:val="00BC4A6E"/>
    <w:rsid w:val="00BC57BB"/>
    <w:rsid w:val="00BC6830"/>
    <w:rsid w:val="00BD03D2"/>
    <w:rsid w:val="00BE2229"/>
    <w:rsid w:val="00BE4B9A"/>
    <w:rsid w:val="00BE69F4"/>
    <w:rsid w:val="00BF5C5B"/>
    <w:rsid w:val="00BF679E"/>
    <w:rsid w:val="00C0061B"/>
    <w:rsid w:val="00C018A1"/>
    <w:rsid w:val="00C0356F"/>
    <w:rsid w:val="00C0387F"/>
    <w:rsid w:val="00C07A5D"/>
    <w:rsid w:val="00C138E8"/>
    <w:rsid w:val="00C14BCB"/>
    <w:rsid w:val="00C21EEF"/>
    <w:rsid w:val="00C229DC"/>
    <w:rsid w:val="00C26F15"/>
    <w:rsid w:val="00C2726A"/>
    <w:rsid w:val="00C27C2D"/>
    <w:rsid w:val="00C3538D"/>
    <w:rsid w:val="00C3749A"/>
    <w:rsid w:val="00C375FD"/>
    <w:rsid w:val="00C446EC"/>
    <w:rsid w:val="00C45B83"/>
    <w:rsid w:val="00C50366"/>
    <w:rsid w:val="00C5175D"/>
    <w:rsid w:val="00C52932"/>
    <w:rsid w:val="00C52D3E"/>
    <w:rsid w:val="00C5391C"/>
    <w:rsid w:val="00C542FB"/>
    <w:rsid w:val="00C565CF"/>
    <w:rsid w:val="00C56B8B"/>
    <w:rsid w:val="00C60054"/>
    <w:rsid w:val="00C66094"/>
    <w:rsid w:val="00C70C71"/>
    <w:rsid w:val="00C7227E"/>
    <w:rsid w:val="00C7753D"/>
    <w:rsid w:val="00C8038F"/>
    <w:rsid w:val="00C83B18"/>
    <w:rsid w:val="00C85DA9"/>
    <w:rsid w:val="00C8778D"/>
    <w:rsid w:val="00C87D6F"/>
    <w:rsid w:val="00C90936"/>
    <w:rsid w:val="00C92B80"/>
    <w:rsid w:val="00C9720E"/>
    <w:rsid w:val="00C97F01"/>
    <w:rsid w:val="00CA057E"/>
    <w:rsid w:val="00CA3872"/>
    <w:rsid w:val="00CB018E"/>
    <w:rsid w:val="00CB061D"/>
    <w:rsid w:val="00CB1D60"/>
    <w:rsid w:val="00CB23EC"/>
    <w:rsid w:val="00CB286B"/>
    <w:rsid w:val="00CB49E4"/>
    <w:rsid w:val="00CB588C"/>
    <w:rsid w:val="00CB6A76"/>
    <w:rsid w:val="00CC05FC"/>
    <w:rsid w:val="00CC5D9F"/>
    <w:rsid w:val="00CD0802"/>
    <w:rsid w:val="00CD125B"/>
    <w:rsid w:val="00CD5619"/>
    <w:rsid w:val="00CD7C68"/>
    <w:rsid w:val="00CE03D3"/>
    <w:rsid w:val="00CE1935"/>
    <w:rsid w:val="00CE3A1A"/>
    <w:rsid w:val="00CF23FD"/>
    <w:rsid w:val="00D0264E"/>
    <w:rsid w:val="00D044AA"/>
    <w:rsid w:val="00D11DEC"/>
    <w:rsid w:val="00D136DF"/>
    <w:rsid w:val="00D1542E"/>
    <w:rsid w:val="00D15993"/>
    <w:rsid w:val="00D17191"/>
    <w:rsid w:val="00D24A19"/>
    <w:rsid w:val="00D311F8"/>
    <w:rsid w:val="00D33050"/>
    <w:rsid w:val="00D33BA9"/>
    <w:rsid w:val="00D34B38"/>
    <w:rsid w:val="00D36378"/>
    <w:rsid w:val="00D43F95"/>
    <w:rsid w:val="00D45608"/>
    <w:rsid w:val="00D4589E"/>
    <w:rsid w:val="00D46C58"/>
    <w:rsid w:val="00D47A03"/>
    <w:rsid w:val="00D52140"/>
    <w:rsid w:val="00D62382"/>
    <w:rsid w:val="00D63AF7"/>
    <w:rsid w:val="00D64226"/>
    <w:rsid w:val="00D6473A"/>
    <w:rsid w:val="00D66889"/>
    <w:rsid w:val="00D74564"/>
    <w:rsid w:val="00D74DBA"/>
    <w:rsid w:val="00D771D2"/>
    <w:rsid w:val="00D80A2C"/>
    <w:rsid w:val="00D82EA1"/>
    <w:rsid w:val="00D84F91"/>
    <w:rsid w:val="00D8634E"/>
    <w:rsid w:val="00D87E77"/>
    <w:rsid w:val="00D87F75"/>
    <w:rsid w:val="00D93A94"/>
    <w:rsid w:val="00D95DA1"/>
    <w:rsid w:val="00D96F90"/>
    <w:rsid w:val="00DA2071"/>
    <w:rsid w:val="00DA26DE"/>
    <w:rsid w:val="00DA2790"/>
    <w:rsid w:val="00DA72EF"/>
    <w:rsid w:val="00DB0D93"/>
    <w:rsid w:val="00DB535F"/>
    <w:rsid w:val="00DB76C1"/>
    <w:rsid w:val="00DB778B"/>
    <w:rsid w:val="00DB7A1E"/>
    <w:rsid w:val="00DC0E5F"/>
    <w:rsid w:val="00DC46FE"/>
    <w:rsid w:val="00DC499A"/>
    <w:rsid w:val="00DC5CD9"/>
    <w:rsid w:val="00DD0304"/>
    <w:rsid w:val="00DD15EC"/>
    <w:rsid w:val="00DD4817"/>
    <w:rsid w:val="00DD51A6"/>
    <w:rsid w:val="00DE0E8C"/>
    <w:rsid w:val="00DE3821"/>
    <w:rsid w:val="00DE6394"/>
    <w:rsid w:val="00DE6F65"/>
    <w:rsid w:val="00DE7244"/>
    <w:rsid w:val="00DF05A2"/>
    <w:rsid w:val="00DF4483"/>
    <w:rsid w:val="00DF5751"/>
    <w:rsid w:val="00DF64AA"/>
    <w:rsid w:val="00DF7964"/>
    <w:rsid w:val="00E0375D"/>
    <w:rsid w:val="00E06C8C"/>
    <w:rsid w:val="00E06E68"/>
    <w:rsid w:val="00E103F7"/>
    <w:rsid w:val="00E118E3"/>
    <w:rsid w:val="00E12AE7"/>
    <w:rsid w:val="00E1593A"/>
    <w:rsid w:val="00E1647F"/>
    <w:rsid w:val="00E21A08"/>
    <w:rsid w:val="00E25E4D"/>
    <w:rsid w:val="00E32676"/>
    <w:rsid w:val="00E34D23"/>
    <w:rsid w:val="00E367E5"/>
    <w:rsid w:val="00E36C20"/>
    <w:rsid w:val="00E4751C"/>
    <w:rsid w:val="00E52987"/>
    <w:rsid w:val="00E529B7"/>
    <w:rsid w:val="00E5379D"/>
    <w:rsid w:val="00E54A1E"/>
    <w:rsid w:val="00E572C1"/>
    <w:rsid w:val="00E6284F"/>
    <w:rsid w:val="00E6791F"/>
    <w:rsid w:val="00E67C45"/>
    <w:rsid w:val="00E71303"/>
    <w:rsid w:val="00E71515"/>
    <w:rsid w:val="00E71837"/>
    <w:rsid w:val="00E720D1"/>
    <w:rsid w:val="00E73AAE"/>
    <w:rsid w:val="00E75BF3"/>
    <w:rsid w:val="00E761EF"/>
    <w:rsid w:val="00E7729F"/>
    <w:rsid w:val="00E773AF"/>
    <w:rsid w:val="00E820EC"/>
    <w:rsid w:val="00E90C95"/>
    <w:rsid w:val="00EA1B89"/>
    <w:rsid w:val="00EA2BB6"/>
    <w:rsid w:val="00EB2944"/>
    <w:rsid w:val="00EB2EF1"/>
    <w:rsid w:val="00EB3171"/>
    <w:rsid w:val="00EB329A"/>
    <w:rsid w:val="00EB5113"/>
    <w:rsid w:val="00EC3C00"/>
    <w:rsid w:val="00EC4D9F"/>
    <w:rsid w:val="00EC66BF"/>
    <w:rsid w:val="00ED1E33"/>
    <w:rsid w:val="00ED7282"/>
    <w:rsid w:val="00EE17C2"/>
    <w:rsid w:val="00EE1AA1"/>
    <w:rsid w:val="00EE7DE5"/>
    <w:rsid w:val="00EF5E8D"/>
    <w:rsid w:val="00F00FBE"/>
    <w:rsid w:val="00F03BB2"/>
    <w:rsid w:val="00F06E2F"/>
    <w:rsid w:val="00F10B7D"/>
    <w:rsid w:val="00F152ED"/>
    <w:rsid w:val="00F167B0"/>
    <w:rsid w:val="00F16ED1"/>
    <w:rsid w:val="00F20BA5"/>
    <w:rsid w:val="00F20FC0"/>
    <w:rsid w:val="00F26471"/>
    <w:rsid w:val="00F26ABF"/>
    <w:rsid w:val="00F31DB5"/>
    <w:rsid w:val="00F32E2C"/>
    <w:rsid w:val="00F3517D"/>
    <w:rsid w:val="00F401AB"/>
    <w:rsid w:val="00F43A5F"/>
    <w:rsid w:val="00F44CB5"/>
    <w:rsid w:val="00F5461E"/>
    <w:rsid w:val="00F62455"/>
    <w:rsid w:val="00F64ED3"/>
    <w:rsid w:val="00F6603A"/>
    <w:rsid w:val="00F71EA7"/>
    <w:rsid w:val="00F72274"/>
    <w:rsid w:val="00F746E2"/>
    <w:rsid w:val="00F76B5B"/>
    <w:rsid w:val="00F773DE"/>
    <w:rsid w:val="00F81FFB"/>
    <w:rsid w:val="00F90E95"/>
    <w:rsid w:val="00F91471"/>
    <w:rsid w:val="00F91B45"/>
    <w:rsid w:val="00F95EF1"/>
    <w:rsid w:val="00F96915"/>
    <w:rsid w:val="00F973B4"/>
    <w:rsid w:val="00FA4FFE"/>
    <w:rsid w:val="00FA7588"/>
    <w:rsid w:val="00FA78D9"/>
    <w:rsid w:val="00FB0DFF"/>
    <w:rsid w:val="00FB2045"/>
    <w:rsid w:val="00FB5ECF"/>
    <w:rsid w:val="00FB7FED"/>
    <w:rsid w:val="00FC0D81"/>
    <w:rsid w:val="00FC12AE"/>
    <w:rsid w:val="00FC25C5"/>
    <w:rsid w:val="00FC4006"/>
    <w:rsid w:val="00FC41C3"/>
    <w:rsid w:val="00FC4AA1"/>
    <w:rsid w:val="00FD1646"/>
    <w:rsid w:val="00FD2A8A"/>
    <w:rsid w:val="00FD397A"/>
    <w:rsid w:val="00FE16C6"/>
    <w:rsid w:val="00FE3724"/>
    <w:rsid w:val="00FF3BFE"/>
    <w:rsid w:val="01B7577A"/>
    <w:rsid w:val="0253DF1A"/>
    <w:rsid w:val="02E23D49"/>
    <w:rsid w:val="03145ADE"/>
    <w:rsid w:val="032594D1"/>
    <w:rsid w:val="03280549"/>
    <w:rsid w:val="0359E15A"/>
    <w:rsid w:val="0364685B"/>
    <w:rsid w:val="03E202A9"/>
    <w:rsid w:val="04B742AD"/>
    <w:rsid w:val="04C1A162"/>
    <w:rsid w:val="05DE3E29"/>
    <w:rsid w:val="068EAA10"/>
    <w:rsid w:val="069236F1"/>
    <w:rsid w:val="06BBBAA5"/>
    <w:rsid w:val="06F71014"/>
    <w:rsid w:val="0710D8F9"/>
    <w:rsid w:val="071170B8"/>
    <w:rsid w:val="072972D8"/>
    <w:rsid w:val="0770F984"/>
    <w:rsid w:val="078CBC2B"/>
    <w:rsid w:val="080E666E"/>
    <w:rsid w:val="08182BA5"/>
    <w:rsid w:val="084DE31F"/>
    <w:rsid w:val="0865EC89"/>
    <w:rsid w:val="086FC273"/>
    <w:rsid w:val="0888EBAC"/>
    <w:rsid w:val="08E82DC1"/>
    <w:rsid w:val="091F743A"/>
    <w:rsid w:val="096F4DBC"/>
    <w:rsid w:val="09A20F27"/>
    <w:rsid w:val="09C2EB2E"/>
    <w:rsid w:val="0A07FB1B"/>
    <w:rsid w:val="0A1D5661"/>
    <w:rsid w:val="0A1F3049"/>
    <w:rsid w:val="0A4168F1"/>
    <w:rsid w:val="0A6DE579"/>
    <w:rsid w:val="0B13C400"/>
    <w:rsid w:val="0B16CA8A"/>
    <w:rsid w:val="0B25EF72"/>
    <w:rsid w:val="0BB8FDDF"/>
    <w:rsid w:val="0C2FAEC0"/>
    <w:rsid w:val="0C46AF9C"/>
    <w:rsid w:val="0C8741A7"/>
    <w:rsid w:val="0C919BA9"/>
    <w:rsid w:val="0CD524A6"/>
    <w:rsid w:val="0D40B260"/>
    <w:rsid w:val="0D7D6B1B"/>
    <w:rsid w:val="0DDA837F"/>
    <w:rsid w:val="0E044CEC"/>
    <w:rsid w:val="0E1D4F55"/>
    <w:rsid w:val="0EEAEA3A"/>
    <w:rsid w:val="0F1F4FB3"/>
    <w:rsid w:val="0F25D23A"/>
    <w:rsid w:val="0F57D4FA"/>
    <w:rsid w:val="0FADCCDD"/>
    <w:rsid w:val="0FC2CE61"/>
    <w:rsid w:val="0FEEAC1A"/>
    <w:rsid w:val="1042959F"/>
    <w:rsid w:val="105B16FC"/>
    <w:rsid w:val="105FF72D"/>
    <w:rsid w:val="1110E3A7"/>
    <w:rsid w:val="1121FE69"/>
    <w:rsid w:val="112ED318"/>
    <w:rsid w:val="114B0135"/>
    <w:rsid w:val="11722B04"/>
    <w:rsid w:val="117E5EBC"/>
    <w:rsid w:val="11A64FC9"/>
    <w:rsid w:val="11A65CFB"/>
    <w:rsid w:val="11FDDC08"/>
    <w:rsid w:val="1245A420"/>
    <w:rsid w:val="124B878A"/>
    <w:rsid w:val="136DDE8F"/>
    <w:rsid w:val="136E9BCB"/>
    <w:rsid w:val="138B29DC"/>
    <w:rsid w:val="13AB29CE"/>
    <w:rsid w:val="13C8AEC1"/>
    <w:rsid w:val="14024174"/>
    <w:rsid w:val="1443412B"/>
    <w:rsid w:val="14457516"/>
    <w:rsid w:val="14609EC2"/>
    <w:rsid w:val="14659F51"/>
    <w:rsid w:val="14D21CF9"/>
    <w:rsid w:val="14F4B31E"/>
    <w:rsid w:val="155C7A1D"/>
    <w:rsid w:val="1586A0B8"/>
    <w:rsid w:val="159C2F22"/>
    <w:rsid w:val="15C28B9A"/>
    <w:rsid w:val="16017C52"/>
    <w:rsid w:val="162C2E29"/>
    <w:rsid w:val="164158AD"/>
    <w:rsid w:val="16A367BA"/>
    <w:rsid w:val="16B51193"/>
    <w:rsid w:val="16B5FA21"/>
    <w:rsid w:val="16E15B96"/>
    <w:rsid w:val="17153EBB"/>
    <w:rsid w:val="172B9395"/>
    <w:rsid w:val="174E52AE"/>
    <w:rsid w:val="17AF1C6B"/>
    <w:rsid w:val="17EECE52"/>
    <w:rsid w:val="185CEB0E"/>
    <w:rsid w:val="18A284F5"/>
    <w:rsid w:val="190C28EA"/>
    <w:rsid w:val="197EAE19"/>
    <w:rsid w:val="19821CA0"/>
    <w:rsid w:val="19A29F2D"/>
    <w:rsid w:val="19C11269"/>
    <w:rsid w:val="19D9357C"/>
    <w:rsid w:val="1A8E150B"/>
    <w:rsid w:val="1ADEB01B"/>
    <w:rsid w:val="1ADFCD8E"/>
    <w:rsid w:val="1B17EC26"/>
    <w:rsid w:val="1B4A113A"/>
    <w:rsid w:val="1BA3DD0A"/>
    <w:rsid w:val="1BBF766D"/>
    <w:rsid w:val="1C699DDC"/>
    <w:rsid w:val="1C99B1F5"/>
    <w:rsid w:val="1C9F14C2"/>
    <w:rsid w:val="1CD1D3E1"/>
    <w:rsid w:val="1CD27FA5"/>
    <w:rsid w:val="1D154C45"/>
    <w:rsid w:val="1D28070C"/>
    <w:rsid w:val="1D9945BD"/>
    <w:rsid w:val="1EB9D2D3"/>
    <w:rsid w:val="1ECC271B"/>
    <w:rsid w:val="1EECFF14"/>
    <w:rsid w:val="1EFC7597"/>
    <w:rsid w:val="1F0CA987"/>
    <w:rsid w:val="1F21EE8E"/>
    <w:rsid w:val="1F5CF1A0"/>
    <w:rsid w:val="1F7B8AED"/>
    <w:rsid w:val="20026B5B"/>
    <w:rsid w:val="20735658"/>
    <w:rsid w:val="20A11B71"/>
    <w:rsid w:val="20A23C94"/>
    <w:rsid w:val="21332B78"/>
    <w:rsid w:val="218B68D4"/>
    <w:rsid w:val="21CDCA4E"/>
    <w:rsid w:val="21D3C01E"/>
    <w:rsid w:val="21F49CCE"/>
    <w:rsid w:val="21FD5D55"/>
    <w:rsid w:val="22354CE3"/>
    <w:rsid w:val="2272D922"/>
    <w:rsid w:val="228A3C2B"/>
    <w:rsid w:val="22936F07"/>
    <w:rsid w:val="22A6C2C8"/>
    <w:rsid w:val="22B94C70"/>
    <w:rsid w:val="22CA008A"/>
    <w:rsid w:val="22FE00CC"/>
    <w:rsid w:val="232D16E5"/>
    <w:rsid w:val="23AD55D9"/>
    <w:rsid w:val="23C1CF44"/>
    <w:rsid w:val="23E8871B"/>
    <w:rsid w:val="24164718"/>
    <w:rsid w:val="241A3102"/>
    <w:rsid w:val="243D80A2"/>
    <w:rsid w:val="2491B540"/>
    <w:rsid w:val="24ABED67"/>
    <w:rsid w:val="24EAB3A0"/>
    <w:rsid w:val="24FE0D1B"/>
    <w:rsid w:val="25536688"/>
    <w:rsid w:val="25F6506B"/>
    <w:rsid w:val="26102C74"/>
    <w:rsid w:val="2613934C"/>
    <w:rsid w:val="2629F14A"/>
    <w:rsid w:val="262BC6BB"/>
    <w:rsid w:val="264B9C7C"/>
    <w:rsid w:val="267DCA2F"/>
    <w:rsid w:val="269A47FD"/>
    <w:rsid w:val="26BB0180"/>
    <w:rsid w:val="271D6096"/>
    <w:rsid w:val="2727EE58"/>
    <w:rsid w:val="2731C958"/>
    <w:rsid w:val="277BFEA5"/>
    <w:rsid w:val="278135BE"/>
    <w:rsid w:val="27BC249D"/>
    <w:rsid w:val="27C14D17"/>
    <w:rsid w:val="27DCE678"/>
    <w:rsid w:val="27F82B6A"/>
    <w:rsid w:val="2866B1BA"/>
    <w:rsid w:val="28B184AB"/>
    <w:rsid w:val="28BEE076"/>
    <w:rsid w:val="28C22E55"/>
    <w:rsid w:val="29D4478B"/>
    <w:rsid w:val="2A0B93BE"/>
    <w:rsid w:val="2A145349"/>
    <w:rsid w:val="2A19F313"/>
    <w:rsid w:val="2A2CBFCB"/>
    <w:rsid w:val="2A570ED3"/>
    <w:rsid w:val="2A5C605C"/>
    <w:rsid w:val="2A691C2A"/>
    <w:rsid w:val="2AA15E0C"/>
    <w:rsid w:val="2AA99762"/>
    <w:rsid w:val="2AD8CF66"/>
    <w:rsid w:val="2AF7B8FA"/>
    <w:rsid w:val="2B45B0F0"/>
    <w:rsid w:val="2B861294"/>
    <w:rsid w:val="2B8AFCF3"/>
    <w:rsid w:val="2BB99185"/>
    <w:rsid w:val="2C032635"/>
    <w:rsid w:val="2C0EA1C3"/>
    <w:rsid w:val="2C233C80"/>
    <w:rsid w:val="2C769782"/>
    <w:rsid w:val="2CA26C5C"/>
    <w:rsid w:val="2D0AB008"/>
    <w:rsid w:val="2D12A58F"/>
    <w:rsid w:val="2D1CEB2C"/>
    <w:rsid w:val="2D446A69"/>
    <w:rsid w:val="2D4832CC"/>
    <w:rsid w:val="2D695098"/>
    <w:rsid w:val="2D725F4C"/>
    <w:rsid w:val="2D785BED"/>
    <w:rsid w:val="2D8694EA"/>
    <w:rsid w:val="2DC2C256"/>
    <w:rsid w:val="2DD6F43C"/>
    <w:rsid w:val="2DEA3647"/>
    <w:rsid w:val="2E34FB78"/>
    <w:rsid w:val="2E87ED5E"/>
    <w:rsid w:val="2E8FA67A"/>
    <w:rsid w:val="2E9EC4B1"/>
    <w:rsid w:val="2ECA49B2"/>
    <w:rsid w:val="2EF2F3CF"/>
    <w:rsid w:val="2F0EEE96"/>
    <w:rsid w:val="2F11E095"/>
    <w:rsid w:val="2F4E39AA"/>
    <w:rsid w:val="2F4EACA5"/>
    <w:rsid w:val="2F5258A6"/>
    <w:rsid w:val="2F88578F"/>
    <w:rsid w:val="30052864"/>
    <w:rsid w:val="301088C2"/>
    <w:rsid w:val="30181458"/>
    <w:rsid w:val="303437D2"/>
    <w:rsid w:val="3074AD76"/>
    <w:rsid w:val="30AD5A63"/>
    <w:rsid w:val="30DE9B6D"/>
    <w:rsid w:val="30F8E511"/>
    <w:rsid w:val="313328E6"/>
    <w:rsid w:val="314BF13F"/>
    <w:rsid w:val="3184BBA9"/>
    <w:rsid w:val="321BEBD5"/>
    <w:rsid w:val="32231F47"/>
    <w:rsid w:val="3241CC49"/>
    <w:rsid w:val="32B7A60A"/>
    <w:rsid w:val="32F62237"/>
    <w:rsid w:val="33027CD6"/>
    <w:rsid w:val="330CD9CA"/>
    <w:rsid w:val="331A4BD2"/>
    <w:rsid w:val="33387890"/>
    <w:rsid w:val="334F3A86"/>
    <w:rsid w:val="339743B5"/>
    <w:rsid w:val="343FEAC4"/>
    <w:rsid w:val="349CC916"/>
    <w:rsid w:val="34DCB05F"/>
    <w:rsid w:val="354A50E4"/>
    <w:rsid w:val="35D2907A"/>
    <w:rsid w:val="35E02AF8"/>
    <w:rsid w:val="365E4BA9"/>
    <w:rsid w:val="366D5A40"/>
    <w:rsid w:val="36EDCBE2"/>
    <w:rsid w:val="373E88C2"/>
    <w:rsid w:val="37943FDB"/>
    <w:rsid w:val="37B1EB82"/>
    <w:rsid w:val="37CD83AB"/>
    <w:rsid w:val="37D5C6F1"/>
    <w:rsid w:val="38C15EC0"/>
    <w:rsid w:val="38D8CA64"/>
    <w:rsid w:val="399D01E0"/>
    <w:rsid w:val="39A1BFB2"/>
    <w:rsid w:val="39B524C6"/>
    <w:rsid w:val="3A3DC8B9"/>
    <w:rsid w:val="3A93410E"/>
    <w:rsid w:val="3AAF7535"/>
    <w:rsid w:val="3AEAE316"/>
    <w:rsid w:val="3B3CB79E"/>
    <w:rsid w:val="3B585BEE"/>
    <w:rsid w:val="3B6B3BA5"/>
    <w:rsid w:val="3BB071F3"/>
    <w:rsid w:val="3BBEF0FF"/>
    <w:rsid w:val="3BE8D4CA"/>
    <w:rsid w:val="3C03CF37"/>
    <w:rsid w:val="3C26D25C"/>
    <w:rsid w:val="3C73B2B1"/>
    <w:rsid w:val="3C8AF7E4"/>
    <w:rsid w:val="3D05EFEA"/>
    <w:rsid w:val="3D0ECB63"/>
    <w:rsid w:val="3D3E9678"/>
    <w:rsid w:val="3D60C0C3"/>
    <w:rsid w:val="3E27973A"/>
    <w:rsid w:val="3E640851"/>
    <w:rsid w:val="3EB2F865"/>
    <w:rsid w:val="3F1C0AF6"/>
    <w:rsid w:val="3F87BA2B"/>
    <w:rsid w:val="3FBA22D4"/>
    <w:rsid w:val="3FD870D7"/>
    <w:rsid w:val="4064E63F"/>
    <w:rsid w:val="40654728"/>
    <w:rsid w:val="408038BF"/>
    <w:rsid w:val="40E46058"/>
    <w:rsid w:val="40EBE7BE"/>
    <w:rsid w:val="4194B187"/>
    <w:rsid w:val="4197A51A"/>
    <w:rsid w:val="41A5D7EE"/>
    <w:rsid w:val="41D299D5"/>
    <w:rsid w:val="42038047"/>
    <w:rsid w:val="421DCAE8"/>
    <w:rsid w:val="42AEA5F9"/>
    <w:rsid w:val="42FD88C6"/>
    <w:rsid w:val="4318FF57"/>
    <w:rsid w:val="431EB3EA"/>
    <w:rsid w:val="4362B664"/>
    <w:rsid w:val="439A9791"/>
    <w:rsid w:val="43C5EC30"/>
    <w:rsid w:val="44405D1C"/>
    <w:rsid w:val="44C3F4B9"/>
    <w:rsid w:val="4587A0FB"/>
    <w:rsid w:val="46377DF0"/>
    <w:rsid w:val="46BA1E96"/>
    <w:rsid w:val="47337CAD"/>
    <w:rsid w:val="47392EE9"/>
    <w:rsid w:val="47948EA4"/>
    <w:rsid w:val="47DDBFFA"/>
    <w:rsid w:val="47F1F848"/>
    <w:rsid w:val="4834292E"/>
    <w:rsid w:val="4848CA65"/>
    <w:rsid w:val="4878670C"/>
    <w:rsid w:val="4897163D"/>
    <w:rsid w:val="489DB56E"/>
    <w:rsid w:val="48A8560E"/>
    <w:rsid w:val="48D30C28"/>
    <w:rsid w:val="4905EA32"/>
    <w:rsid w:val="4911431C"/>
    <w:rsid w:val="491DD7C4"/>
    <w:rsid w:val="49329764"/>
    <w:rsid w:val="4979A22F"/>
    <w:rsid w:val="499707A4"/>
    <w:rsid w:val="4A6637A6"/>
    <w:rsid w:val="4A7D0BC2"/>
    <w:rsid w:val="4AA5C19D"/>
    <w:rsid w:val="4AAFB80B"/>
    <w:rsid w:val="4B041469"/>
    <w:rsid w:val="4B463E1A"/>
    <w:rsid w:val="4BCE7FE4"/>
    <w:rsid w:val="4BE756CE"/>
    <w:rsid w:val="4C298E50"/>
    <w:rsid w:val="4C989B5A"/>
    <w:rsid w:val="4CAD503A"/>
    <w:rsid w:val="4CB06B97"/>
    <w:rsid w:val="4CC22901"/>
    <w:rsid w:val="4CCD880D"/>
    <w:rsid w:val="4CEEF492"/>
    <w:rsid w:val="4D9C5860"/>
    <w:rsid w:val="4DEDB3C1"/>
    <w:rsid w:val="4E2D23E5"/>
    <w:rsid w:val="4E7C6D68"/>
    <w:rsid w:val="4EB160EE"/>
    <w:rsid w:val="4EBE4631"/>
    <w:rsid w:val="4ED1B246"/>
    <w:rsid w:val="4F17DD90"/>
    <w:rsid w:val="4F2E62E9"/>
    <w:rsid w:val="4F53A30D"/>
    <w:rsid w:val="4F778DE0"/>
    <w:rsid w:val="4FA722C2"/>
    <w:rsid w:val="5069D0D3"/>
    <w:rsid w:val="50BD56C9"/>
    <w:rsid w:val="50D3CD03"/>
    <w:rsid w:val="50DFD33E"/>
    <w:rsid w:val="50F07011"/>
    <w:rsid w:val="51031241"/>
    <w:rsid w:val="51233909"/>
    <w:rsid w:val="5189AFD6"/>
    <w:rsid w:val="51CBE69B"/>
    <w:rsid w:val="5212CEF1"/>
    <w:rsid w:val="523CB3B9"/>
    <w:rsid w:val="5257578C"/>
    <w:rsid w:val="52B2727D"/>
    <w:rsid w:val="52CCEF57"/>
    <w:rsid w:val="53BF6EEB"/>
    <w:rsid w:val="53C63D54"/>
    <w:rsid w:val="53F85036"/>
    <w:rsid w:val="5403E127"/>
    <w:rsid w:val="5453CF80"/>
    <w:rsid w:val="5491A5BD"/>
    <w:rsid w:val="549B421A"/>
    <w:rsid w:val="54EF855D"/>
    <w:rsid w:val="54F6104B"/>
    <w:rsid w:val="5508085F"/>
    <w:rsid w:val="5513F34F"/>
    <w:rsid w:val="55E7B433"/>
    <w:rsid w:val="562067BF"/>
    <w:rsid w:val="56455C19"/>
    <w:rsid w:val="5691C43F"/>
    <w:rsid w:val="5691EEA7"/>
    <w:rsid w:val="56A47DFC"/>
    <w:rsid w:val="56AB0694"/>
    <w:rsid w:val="56C196FF"/>
    <w:rsid w:val="57176F80"/>
    <w:rsid w:val="5763E312"/>
    <w:rsid w:val="57BAAA02"/>
    <w:rsid w:val="57E7C135"/>
    <w:rsid w:val="58248B79"/>
    <w:rsid w:val="583F882D"/>
    <w:rsid w:val="58435C0D"/>
    <w:rsid w:val="5843F459"/>
    <w:rsid w:val="586BD92F"/>
    <w:rsid w:val="586EFC46"/>
    <w:rsid w:val="58BA20F3"/>
    <w:rsid w:val="58F91DFB"/>
    <w:rsid w:val="595CC4AA"/>
    <w:rsid w:val="59A3A170"/>
    <w:rsid w:val="59F4AD0A"/>
    <w:rsid w:val="59FCFF12"/>
    <w:rsid w:val="5A3C0404"/>
    <w:rsid w:val="5A51A708"/>
    <w:rsid w:val="5AAA0B95"/>
    <w:rsid w:val="5AAEE4BE"/>
    <w:rsid w:val="5B1E1D94"/>
    <w:rsid w:val="5B459051"/>
    <w:rsid w:val="5B5B57AB"/>
    <w:rsid w:val="5B9925BC"/>
    <w:rsid w:val="5BA4AB71"/>
    <w:rsid w:val="5BAF5CCD"/>
    <w:rsid w:val="5C1759E3"/>
    <w:rsid w:val="5C23B292"/>
    <w:rsid w:val="5CA33E5A"/>
    <w:rsid w:val="5CA96F2B"/>
    <w:rsid w:val="5D3CCB92"/>
    <w:rsid w:val="5D7DCB4D"/>
    <w:rsid w:val="5DDA1877"/>
    <w:rsid w:val="5E2D3ACF"/>
    <w:rsid w:val="5E393E2D"/>
    <w:rsid w:val="5E84A58E"/>
    <w:rsid w:val="5F5CA233"/>
    <w:rsid w:val="5F7BB0E9"/>
    <w:rsid w:val="5F802F07"/>
    <w:rsid w:val="5FD523BF"/>
    <w:rsid w:val="60052784"/>
    <w:rsid w:val="60145389"/>
    <w:rsid w:val="60AE51AE"/>
    <w:rsid w:val="60BCEB4C"/>
    <w:rsid w:val="614B43A8"/>
    <w:rsid w:val="61DFD77E"/>
    <w:rsid w:val="620420E8"/>
    <w:rsid w:val="62417B84"/>
    <w:rsid w:val="626408D4"/>
    <w:rsid w:val="62C3B870"/>
    <w:rsid w:val="63137FB7"/>
    <w:rsid w:val="6317C51E"/>
    <w:rsid w:val="6331E97E"/>
    <w:rsid w:val="63A6170D"/>
    <w:rsid w:val="63CBB925"/>
    <w:rsid w:val="643ED95E"/>
    <w:rsid w:val="64617316"/>
    <w:rsid w:val="64740A3A"/>
    <w:rsid w:val="651AE968"/>
    <w:rsid w:val="654A9CCD"/>
    <w:rsid w:val="655C7B9D"/>
    <w:rsid w:val="656580BB"/>
    <w:rsid w:val="65BC823C"/>
    <w:rsid w:val="661999F7"/>
    <w:rsid w:val="6635C8A5"/>
    <w:rsid w:val="66EAA3FF"/>
    <w:rsid w:val="66FB06BA"/>
    <w:rsid w:val="677824B2"/>
    <w:rsid w:val="67AF222C"/>
    <w:rsid w:val="6801F27F"/>
    <w:rsid w:val="68A86EE4"/>
    <w:rsid w:val="691945E6"/>
    <w:rsid w:val="69A1BC75"/>
    <w:rsid w:val="6A1E3EAF"/>
    <w:rsid w:val="6A5236D7"/>
    <w:rsid w:val="6B1C8E27"/>
    <w:rsid w:val="6B57974A"/>
    <w:rsid w:val="6B5C36F0"/>
    <w:rsid w:val="6B66B83B"/>
    <w:rsid w:val="6B7AE347"/>
    <w:rsid w:val="6BBA5438"/>
    <w:rsid w:val="6BD3C797"/>
    <w:rsid w:val="6BFF7782"/>
    <w:rsid w:val="6C504162"/>
    <w:rsid w:val="6C7CB80B"/>
    <w:rsid w:val="6CC67C47"/>
    <w:rsid w:val="6D557774"/>
    <w:rsid w:val="6DC7E1A0"/>
    <w:rsid w:val="6DCE3EEA"/>
    <w:rsid w:val="6DF63677"/>
    <w:rsid w:val="6E18DB6E"/>
    <w:rsid w:val="6E4D26D4"/>
    <w:rsid w:val="6EFDDF91"/>
    <w:rsid w:val="6F22999C"/>
    <w:rsid w:val="6FAE4C75"/>
    <w:rsid w:val="6FFF35F7"/>
    <w:rsid w:val="714D9780"/>
    <w:rsid w:val="71A8C6B6"/>
    <w:rsid w:val="71D5473E"/>
    <w:rsid w:val="71DDB5AF"/>
    <w:rsid w:val="72437265"/>
    <w:rsid w:val="724B9AD1"/>
    <w:rsid w:val="727AED60"/>
    <w:rsid w:val="728424C0"/>
    <w:rsid w:val="731929AD"/>
    <w:rsid w:val="73E5E475"/>
    <w:rsid w:val="74A3D892"/>
    <w:rsid w:val="74EDFA38"/>
    <w:rsid w:val="75073780"/>
    <w:rsid w:val="7516D039"/>
    <w:rsid w:val="75D4C16C"/>
    <w:rsid w:val="75E13CCF"/>
    <w:rsid w:val="76155366"/>
    <w:rsid w:val="761BE59D"/>
    <w:rsid w:val="76567BC0"/>
    <w:rsid w:val="76736E3E"/>
    <w:rsid w:val="7703878D"/>
    <w:rsid w:val="775FF161"/>
    <w:rsid w:val="776E47A4"/>
    <w:rsid w:val="777197DC"/>
    <w:rsid w:val="77C2FC1A"/>
    <w:rsid w:val="77FF61A5"/>
    <w:rsid w:val="783DB336"/>
    <w:rsid w:val="788204B4"/>
    <w:rsid w:val="78AB0561"/>
    <w:rsid w:val="7980874A"/>
    <w:rsid w:val="799B3C7B"/>
    <w:rsid w:val="79BE3AD7"/>
    <w:rsid w:val="7A1385C6"/>
    <w:rsid w:val="7A1CB2F8"/>
    <w:rsid w:val="7A294DE6"/>
    <w:rsid w:val="7A8764AC"/>
    <w:rsid w:val="7A8D9868"/>
    <w:rsid w:val="7B3668DA"/>
    <w:rsid w:val="7B39FEFE"/>
    <w:rsid w:val="7B52427F"/>
    <w:rsid w:val="7B824ED1"/>
    <w:rsid w:val="7B8E00BB"/>
    <w:rsid w:val="7B9283EE"/>
    <w:rsid w:val="7B9A471E"/>
    <w:rsid w:val="7C1AFAF5"/>
    <w:rsid w:val="7C2C4BB5"/>
    <w:rsid w:val="7C7DB7C1"/>
    <w:rsid w:val="7C886EC4"/>
    <w:rsid w:val="7CEDD788"/>
    <w:rsid w:val="7D08A1BE"/>
    <w:rsid w:val="7D5A4D72"/>
    <w:rsid w:val="7D798AAB"/>
    <w:rsid w:val="7D9D0A8C"/>
    <w:rsid w:val="7DC43233"/>
    <w:rsid w:val="7E050006"/>
    <w:rsid w:val="7ED5DC01"/>
    <w:rsid w:val="7EF80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D937"/>
  <w15:chartTrackingRefBased/>
  <w15:docId w15:val="{572C4E00-74B6-41A8-8DB1-D01E991D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34D23"/>
    <w:pPr>
      <w:keepNext/>
      <w:keepLines/>
      <w:spacing w:before="160" w:after="80"/>
      <w:outlineLvl w:val="1"/>
    </w:pPr>
    <w:rPr>
      <w:rFonts w:ascii="Arial" w:eastAsiaTheme="majorEastAsia" w:hAnsi="Arial" w:cstheme="majorBidi"/>
      <w:color w:val="156082" w:themeColor="accent1"/>
      <w:szCs w:val="32"/>
    </w:rPr>
  </w:style>
  <w:style w:type="paragraph" w:styleId="Heading3">
    <w:name w:val="heading 3"/>
    <w:basedOn w:val="Normal"/>
    <w:next w:val="Normal"/>
    <w:link w:val="Heading3Char"/>
    <w:uiPriority w:val="9"/>
    <w:semiHidden/>
    <w:unhideWhenUsed/>
    <w:qFormat/>
    <w:rsid w:val="00B11B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1B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1B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1B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B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B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B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B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34D23"/>
    <w:rPr>
      <w:rFonts w:ascii="Arial" w:eastAsiaTheme="majorEastAsia" w:hAnsi="Arial" w:cstheme="majorBidi"/>
      <w:color w:val="156082" w:themeColor="accent1"/>
      <w:szCs w:val="32"/>
    </w:rPr>
  </w:style>
  <w:style w:type="character" w:customStyle="1" w:styleId="Heading3Char">
    <w:name w:val="Heading 3 Char"/>
    <w:basedOn w:val="DefaultParagraphFont"/>
    <w:link w:val="Heading3"/>
    <w:uiPriority w:val="9"/>
    <w:semiHidden/>
    <w:rsid w:val="00B11B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1B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1B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1B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B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B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BD3"/>
    <w:rPr>
      <w:rFonts w:eastAsiaTheme="majorEastAsia" w:cstheme="majorBidi"/>
      <w:color w:val="272727" w:themeColor="text1" w:themeTint="D8"/>
    </w:rPr>
  </w:style>
  <w:style w:type="paragraph" w:styleId="Title">
    <w:name w:val="Title"/>
    <w:basedOn w:val="Normal"/>
    <w:next w:val="Normal"/>
    <w:link w:val="TitleChar"/>
    <w:uiPriority w:val="10"/>
    <w:qFormat/>
    <w:rsid w:val="00B11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B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B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B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BD3"/>
    <w:pPr>
      <w:spacing w:before="160"/>
      <w:jc w:val="center"/>
    </w:pPr>
    <w:rPr>
      <w:i/>
      <w:iCs/>
      <w:color w:val="404040" w:themeColor="text1" w:themeTint="BF"/>
    </w:rPr>
  </w:style>
  <w:style w:type="character" w:customStyle="1" w:styleId="QuoteChar">
    <w:name w:val="Quote Char"/>
    <w:basedOn w:val="DefaultParagraphFont"/>
    <w:link w:val="Quote"/>
    <w:uiPriority w:val="29"/>
    <w:rsid w:val="00B11BD3"/>
    <w:rPr>
      <w:i/>
      <w:iCs/>
      <w:color w:val="404040" w:themeColor="text1" w:themeTint="BF"/>
    </w:rPr>
  </w:style>
  <w:style w:type="paragraph" w:styleId="ListParagraph">
    <w:name w:val="List Paragraph"/>
    <w:basedOn w:val="Normal"/>
    <w:uiPriority w:val="34"/>
    <w:qFormat/>
    <w:rsid w:val="00B11BD3"/>
    <w:pPr>
      <w:ind w:left="720"/>
      <w:contextualSpacing/>
    </w:pPr>
  </w:style>
  <w:style w:type="character" w:styleId="IntenseEmphasis">
    <w:name w:val="Intense Emphasis"/>
    <w:basedOn w:val="DefaultParagraphFont"/>
    <w:uiPriority w:val="21"/>
    <w:qFormat/>
    <w:rsid w:val="00B11BD3"/>
    <w:rPr>
      <w:i/>
      <w:iCs/>
      <w:color w:val="0F4761" w:themeColor="accent1" w:themeShade="BF"/>
    </w:rPr>
  </w:style>
  <w:style w:type="paragraph" w:styleId="IntenseQuote">
    <w:name w:val="Intense Quote"/>
    <w:basedOn w:val="Normal"/>
    <w:next w:val="Normal"/>
    <w:link w:val="IntenseQuoteChar"/>
    <w:uiPriority w:val="30"/>
    <w:qFormat/>
    <w:rsid w:val="00B11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1BD3"/>
    <w:rPr>
      <w:i/>
      <w:iCs/>
      <w:color w:val="0F4761" w:themeColor="accent1" w:themeShade="BF"/>
    </w:rPr>
  </w:style>
  <w:style w:type="character" w:styleId="IntenseReference">
    <w:name w:val="Intense Reference"/>
    <w:basedOn w:val="DefaultParagraphFont"/>
    <w:uiPriority w:val="32"/>
    <w:qFormat/>
    <w:rsid w:val="00B11BD3"/>
    <w:rPr>
      <w:b/>
      <w:bCs/>
      <w:smallCaps/>
      <w:color w:val="0F4761" w:themeColor="accent1" w:themeShade="BF"/>
      <w:spacing w:val="5"/>
    </w:rPr>
  </w:style>
  <w:style w:type="character" w:styleId="CommentReference">
    <w:name w:val="annotation reference"/>
    <w:basedOn w:val="DefaultParagraphFont"/>
    <w:uiPriority w:val="99"/>
    <w:semiHidden/>
    <w:unhideWhenUsed/>
    <w:rsid w:val="004E4FCB"/>
    <w:rPr>
      <w:sz w:val="16"/>
      <w:szCs w:val="16"/>
    </w:rPr>
  </w:style>
  <w:style w:type="paragraph" w:styleId="CommentText">
    <w:name w:val="annotation text"/>
    <w:basedOn w:val="Normal"/>
    <w:link w:val="CommentTextChar"/>
    <w:uiPriority w:val="99"/>
    <w:unhideWhenUsed/>
    <w:rsid w:val="004E4FCB"/>
    <w:pPr>
      <w:spacing w:line="240" w:lineRule="auto"/>
    </w:pPr>
    <w:rPr>
      <w:sz w:val="20"/>
      <w:szCs w:val="20"/>
    </w:rPr>
  </w:style>
  <w:style w:type="character" w:customStyle="1" w:styleId="CommentTextChar">
    <w:name w:val="Comment Text Char"/>
    <w:basedOn w:val="DefaultParagraphFont"/>
    <w:link w:val="CommentText"/>
    <w:uiPriority w:val="99"/>
    <w:rsid w:val="004E4FCB"/>
    <w:rPr>
      <w:sz w:val="20"/>
      <w:szCs w:val="20"/>
    </w:rPr>
  </w:style>
  <w:style w:type="paragraph" w:styleId="CommentSubject">
    <w:name w:val="annotation subject"/>
    <w:basedOn w:val="CommentText"/>
    <w:next w:val="CommentText"/>
    <w:link w:val="CommentSubjectChar"/>
    <w:uiPriority w:val="99"/>
    <w:semiHidden/>
    <w:unhideWhenUsed/>
    <w:rsid w:val="004E4FCB"/>
    <w:rPr>
      <w:b/>
      <w:bCs/>
    </w:rPr>
  </w:style>
  <w:style w:type="character" w:customStyle="1" w:styleId="CommentSubjectChar">
    <w:name w:val="Comment Subject Char"/>
    <w:basedOn w:val="CommentTextChar"/>
    <w:link w:val="CommentSubject"/>
    <w:uiPriority w:val="99"/>
    <w:semiHidden/>
    <w:rsid w:val="004E4FCB"/>
    <w:rPr>
      <w:b/>
      <w:bCs/>
      <w:sz w:val="20"/>
      <w:szCs w:val="20"/>
    </w:rPr>
  </w:style>
  <w:style w:type="table" w:styleId="TableGrid">
    <w:name w:val="Table Grid"/>
    <w:basedOn w:val="TableNormal"/>
    <w:uiPriority w:val="39"/>
    <w:rsid w:val="00390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5D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80401">
      <w:bodyDiv w:val="1"/>
      <w:marLeft w:val="0"/>
      <w:marRight w:val="0"/>
      <w:marTop w:val="0"/>
      <w:marBottom w:val="0"/>
      <w:divBdr>
        <w:top w:val="none" w:sz="0" w:space="0" w:color="auto"/>
        <w:left w:val="none" w:sz="0" w:space="0" w:color="auto"/>
        <w:bottom w:val="none" w:sz="0" w:space="0" w:color="auto"/>
        <w:right w:val="none" w:sz="0" w:space="0" w:color="auto"/>
      </w:divBdr>
    </w:div>
    <w:div w:id="411201714">
      <w:bodyDiv w:val="1"/>
      <w:marLeft w:val="0"/>
      <w:marRight w:val="0"/>
      <w:marTop w:val="0"/>
      <w:marBottom w:val="0"/>
      <w:divBdr>
        <w:top w:val="none" w:sz="0" w:space="0" w:color="auto"/>
        <w:left w:val="none" w:sz="0" w:space="0" w:color="auto"/>
        <w:bottom w:val="none" w:sz="0" w:space="0" w:color="auto"/>
        <w:right w:val="none" w:sz="0" w:space="0" w:color="auto"/>
      </w:divBdr>
    </w:div>
    <w:div w:id="573661341">
      <w:bodyDiv w:val="1"/>
      <w:marLeft w:val="0"/>
      <w:marRight w:val="0"/>
      <w:marTop w:val="0"/>
      <w:marBottom w:val="0"/>
      <w:divBdr>
        <w:top w:val="none" w:sz="0" w:space="0" w:color="auto"/>
        <w:left w:val="none" w:sz="0" w:space="0" w:color="auto"/>
        <w:bottom w:val="none" w:sz="0" w:space="0" w:color="auto"/>
        <w:right w:val="none" w:sz="0" w:space="0" w:color="auto"/>
      </w:divBdr>
    </w:div>
    <w:div w:id="613826623">
      <w:bodyDiv w:val="1"/>
      <w:marLeft w:val="0"/>
      <w:marRight w:val="0"/>
      <w:marTop w:val="0"/>
      <w:marBottom w:val="0"/>
      <w:divBdr>
        <w:top w:val="none" w:sz="0" w:space="0" w:color="auto"/>
        <w:left w:val="none" w:sz="0" w:space="0" w:color="auto"/>
        <w:bottom w:val="none" w:sz="0" w:space="0" w:color="auto"/>
        <w:right w:val="none" w:sz="0" w:space="0" w:color="auto"/>
      </w:divBdr>
    </w:div>
    <w:div w:id="1471480151">
      <w:bodyDiv w:val="1"/>
      <w:marLeft w:val="0"/>
      <w:marRight w:val="0"/>
      <w:marTop w:val="0"/>
      <w:marBottom w:val="0"/>
      <w:divBdr>
        <w:top w:val="none" w:sz="0" w:space="0" w:color="auto"/>
        <w:left w:val="none" w:sz="0" w:space="0" w:color="auto"/>
        <w:bottom w:val="none" w:sz="0" w:space="0" w:color="auto"/>
        <w:right w:val="none" w:sz="0" w:space="0" w:color="auto"/>
      </w:divBdr>
    </w:div>
    <w:div w:id="184801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E72FCB22B88D4C84868C2B49ACDC1F" ma:contentTypeVersion="14" ma:contentTypeDescription="Create a new document." ma:contentTypeScope="" ma:versionID="c46bffdf57131facb3cbfdb533900192">
  <xsd:schema xmlns:xsd="http://www.w3.org/2001/XMLSchema" xmlns:xs="http://www.w3.org/2001/XMLSchema" xmlns:p="http://schemas.microsoft.com/office/2006/metadata/properties" xmlns:ns2="3796c711-4acb-4d3d-a580-180100c913f5" xmlns:ns3="0fc7efbc-3519-4043-a7cf-9257e46b4e16" targetNamespace="http://schemas.microsoft.com/office/2006/metadata/properties" ma:root="true" ma:fieldsID="fb28b8783310e1d465fad1208faf4b7d" ns2:_="" ns3:_="">
    <xsd:import namespace="3796c711-4acb-4d3d-a580-180100c913f5"/>
    <xsd:import namespace="0fc7efbc-3519-4043-a7cf-9257e46b4e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6c711-4acb-4d3d-a580-180100c91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7efbc-3519-4043-a7cf-9257e46b4e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02da3f5-79f2-443c-8713-bed2e5b0d9b0}" ma:internalName="TaxCatchAll" ma:showField="CatchAllData" ma:web="0fc7efbc-3519-4043-a7cf-9257e46b4e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fc7efbc-3519-4043-a7cf-9257e46b4e16" xsi:nil="true"/>
    <lcf76f155ced4ddcb4097134ff3c332f xmlns="3796c711-4acb-4d3d-a580-180100c913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1DBD84-3430-4002-AD88-CE4507DDAC5D}">
  <ds:schemaRefs>
    <ds:schemaRef ds:uri="http://schemas.microsoft.com/sharepoint/v3/contenttype/forms"/>
  </ds:schemaRefs>
</ds:datastoreItem>
</file>

<file path=customXml/itemProps2.xml><?xml version="1.0" encoding="utf-8"?>
<ds:datastoreItem xmlns:ds="http://schemas.openxmlformats.org/officeDocument/2006/customXml" ds:itemID="{8E91379D-41CA-471B-AAFA-F7836B9A4B2E}"/>
</file>

<file path=customXml/itemProps3.xml><?xml version="1.0" encoding="utf-8"?>
<ds:datastoreItem xmlns:ds="http://schemas.openxmlformats.org/officeDocument/2006/customXml" ds:itemID="{878E0B36-473A-490E-BDBE-DBF9CA89BE9C}">
  <ds:schemaRefs>
    <ds:schemaRef ds:uri="http://schemas.microsoft.com/office/2006/metadata/properties"/>
    <ds:schemaRef ds:uri="http://schemas.microsoft.com/office/infopath/2007/PartnerControls"/>
    <ds:schemaRef ds:uri="2fc2a8c7-3b3f-4409-bc78-aa40538e7eb1"/>
    <ds:schemaRef ds:uri="bcfdd46f-05b7-4168-829e-caf74ca5b04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3015</Words>
  <Characters>17189</Characters>
  <Application>Microsoft Office Word</Application>
  <DocSecurity>4</DocSecurity>
  <Lines>143</Lines>
  <Paragraphs>40</Paragraphs>
  <ScaleCrop>false</ScaleCrop>
  <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Clement</dc:creator>
  <cp:keywords/>
  <dc:description/>
  <cp:lastModifiedBy>G Corinne Sloley</cp:lastModifiedBy>
  <cp:revision>2</cp:revision>
  <dcterms:created xsi:type="dcterms:W3CDTF">2025-07-04T08:17:00Z</dcterms:created>
  <dcterms:modified xsi:type="dcterms:W3CDTF">2025-07-04T08:17:00Z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0x01010004E72FCB22B88D4C84868C2B49ACDC1F</vt:lpwstr>
  </property>
  <property fmtid="{D5CDD505-2E9C-101B-9397-08002B2CF9AE}" pid="3" name="MediaServiceImageTags">
    <vt:lpwstr/>
  </property>
</Properties>
</file>